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34" w:rsidRPr="00AF16F6" w:rsidRDefault="00C55976" w:rsidP="00AF16F6">
      <w:pPr>
        <w:jc w:val="both"/>
      </w:pPr>
      <w:r>
        <w:rPr>
          <w:noProof/>
          <w:lang w:val="en-US" w:eastAsia="en-US"/>
        </w:rPr>
        <w:drawing>
          <wp:inline distT="0" distB="0" distL="0" distR="0">
            <wp:extent cx="5762625" cy="17145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2625" cy="1714500"/>
                    </a:xfrm>
                    <a:prstGeom prst="rect">
                      <a:avLst/>
                    </a:prstGeom>
                    <a:noFill/>
                    <a:ln w="9525">
                      <a:noFill/>
                      <a:miter lim="800000"/>
                      <a:headEnd/>
                      <a:tailEnd/>
                    </a:ln>
                  </pic:spPr>
                </pic:pic>
              </a:graphicData>
            </a:graphic>
          </wp:inline>
        </w:drawing>
      </w:r>
    </w:p>
    <w:p w:rsidR="00246979" w:rsidRPr="005D7478" w:rsidRDefault="00246979" w:rsidP="00CF70B0">
      <w:pPr>
        <w:jc w:val="right"/>
        <w:rPr>
          <w:noProof/>
          <w:highlight w:val="yellow"/>
          <w:lang w:val="en-US" w:eastAsia="en-US"/>
        </w:rPr>
      </w:pPr>
    </w:p>
    <w:p w:rsidR="00B05134" w:rsidRPr="00AF16F6" w:rsidRDefault="00B05134" w:rsidP="00246979">
      <w:pPr>
        <w:jc w:val="center"/>
        <w:rPr>
          <w:b/>
          <w:bCs/>
        </w:rPr>
      </w:pPr>
      <w:r w:rsidRPr="00AF16F6">
        <w:rPr>
          <w:b/>
          <w:bCs/>
        </w:rPr>
        <w:t>OPINION</w:t>
      </w:r>
    </w:p>
    <w:p w:rsidR="00B05134" w:rsidRPr="00AF16F6" w:rsidRDefault="00B05134" w:rsidP="007F2BB7">
      <w:pPr>
        <w:autoSpaceDE w:val="0"/>
        <w:jc w:val="both"/>
        <w:rPr>
          <w:b/>
          <w:bCs/>
        </w:rPr>
      </w:pPr>
    </w:p>
    <w:p w:rsidR="00B05134" w:rsidRPr="00AF16F6" w:rsidRDefault="00784011" w:rsidP="00AF16F6">
      <w:pPr>
        <w:autoSpaceDE w:val="0"/>
        <w:jc w:val="both"/>
        <w:rPr>
          <w:b/>
          <w:bCs/>
        </w:rPr>
      </w:pPr>
      <w:r>
        <w:rPr>
          <w:b/>
          <w:bCs/>
        </w:rPr>
        <w:t>Date of adoption: 14</w:t>
      </w:r>
      <w:r w:rsidR="004F230D">
        <w:rPr>
          <w:b/>
          <w:bCs/>
        </w:rPr>
        <w:t xml:space="preserve"> March</w:t>
      </w:r>
      <w:r w:rsidR="0016685C">
        <w:rPr>
          <w:b/>
          <w:bCs/>
        </w:rPr>
        <w:t xml:space="preserve"> </w:t>
      </w:r>
      <w:r w:rsidR="006F3ADC">
        <w:rPr>
          <w:b/>
          <w:bCs/>
        </w:rPr>
        <w:t>2013</w:t>
      </w:r>
    </w:p>
    <w:p w:rsidR="00B05134" w:rsidRPr="00AF16F6" w:rsidRDefault="00B05134" w:rsidP="00AF16F6">
      <w:pPr>
        <w:autoSpaceDE w:val="0"/>
        <w:jc w:val="both"/>
        <w:rPr>
          <w:b/>
          <w:bCs/>
        </w:rPr>
      </w:pPr>
    </w:p>
    <w:p w:rsidR="00B05134" w:rsidRPr="00AF16F6" w:rsidRDefault="007B3B32" w:rsidP="00AF16F6">
      <w:pPr>
        <w:autoSpaceDE w:val="0"/>
        <w:jc w:val="both"/>
        <w:rPr>
          <w:b/>
          <w:bCs/>
        </w:rPr>
      </w:pPr>
      <w:r>
        <w:rPr>
          <w:b/>
          <w:bCs/>
        </w:rPr>
        <w:t>Case N</w:t>
      </w:r>
      <w:r w:rsidR="00E838DA">
        <w:rPr>
          <w:b/>
          <w:bCs/>
        </w:rPr>
        <w:t xml:space="preserve">o. </w:t>
      </w:r>
      <w:r w:rsidR="004F230D">
        <w:rPr>
          <w:b/>
          <w:bCs/>
        </w:rPr>
        <w:t>112/09</w:t>
      </w:r>
    </w:p>
    <w:p w:rsidR="00A0641F" w:rsidRDefault="00A0641F" w:rsidP="00AF16F6">
      <w:pPr>
        <w:tabs>
          <w:tab w:val="left" w:pos="4205"/>
        </w:tabs>
        <w:autoSpaceDE w:val="0"/>
        <w:jc w:val="both"/>
        <w:rPr>
          <w:b/>
          <w:bCs/>
        </w:rPr>
      </w:pPr>
    </w:p>
    <w:p w:rsidR="00B05134" w:rsidRPr="00AF16F6" w:rsidRDefault="004F230D" w:rsidP="00AF16F6">
      <w:pPr>
        <w:tabs>
          <w:tab w:val="left" w:pos="4205"/>
        </w:tabs>
        <w:autoSpaceDE w:val="0"/>
        <w:jc w:val="both"/>
        <w:rPr>
          <w:b/>
        </w:rPr>
      </w:pPr>
      <w:r>
        <w:rPr>
          <w:b/>
          <w:bCs/>
        </w:rPr>
        <w:t>Mirjana BOGI</w:t>
      </w:r>
      <w:r w:rsidR="00E838DA">
        <w:rPr>
          <w:b/>
          <w:bCs/>
        </w:rPr>
        <w:t>Ć</w:t>
      </w:r>
      <w:r>
        <w:rPr>
          <w:b/>
          <w:bCs/>
        </w:rPr>
        <w:t>EVI</w:t>
      </w:r>
      <w:r w:rsidRPr="004F230D">
        <w:rPr>
          <w:b/>
          <w:bCs/>
        </w:rPr>
        <w:t>Ć</w:t>
      </w:r>
    </w:p>
    <w:p w:rsidR="00B05134" w:rsidRPr="00AF16F6" w:rsidRDefault="00B05134" w:rsidP="00AF16F6">
      <w:pPr>
        <w:tabs>
          <w:tab w:val="left" w:pos="4205"/>
        </w:tabs>
        <w:autoSpaceDE w:val="0"/>
        <w:jc w:val="both"/>
        <w:rPr>
          <w:b/>
          <w:bCs/>
        </w:rPr>
      </w:pPr>
    </w:p>
    <w:p w:rsidR="00B05134" w:rsidRPr="00AF16F6" w:rsidRDefault="00B05134" w:rsidP="00AF16F6">
      <w:pPr>
        <w:autoSpaceDE w:val="0"/>
        <w:jc w:val="both"/>
        <w:rPr>
          <w:b/>
          <w:bCs/>
        </w:rPr>
      </w:pPr>
      <w:r w:rsidRPr="00AF16F6">
        <w:rPr>
          <w:b/>
          <w:bCs/>
        </w:rPr>
        <w:t>against</w:t>
      </w:r>
    </w:p>
    <w:p w:rsidR="00B05134" w:rsidRPr="00AF16F6" w:rsidRDefault="00B05134" w:rsidP="00AF16F6">
      <w:pPr>
        <w:autoSpaceDE w:val="0"/>
        <w:jc w:val="both"/>
        <w:rPr>
          <w:b/>
          <w:bCs/>
        </w:rPr>
      </w:pPr>
      <w:r w:rsidRPr="00AF16F6">
        <w:rPr>
          <w:b/>
          <w:bCs/>
        </w:rPr>
        <w:t xml:space="preserve"> </w:t>
      </w:r>
    </w:p>
    <w:p w:rsidR="00B05134" w:rsidRPr="00AF16F6" w:rsidRDefault="00B05134" w:rsidP="00AF16F6">
      <w:pPr>
        <w:autoSpaceDE w:val="0"/>
        <w:jc w:val="both"/>
        <w:rPr>
          <w:b/>
          <w:bCs/>
        </w:rPr>
      </w:pPr>
      <w:r w:rsidRPr="00AF16F6">
        <w:rPr>
          <w:b/>
          <w:bCs/>
        </w:rPr>
        <w:t xml:space="preserve">UNMIK </w:t>
      </w:r>
    </w:p>
    <w:p w:rsidR="00B05134" w:rsidRPr="00AF16F6" w:rsidRDefault="00B05134" w:rsidP="00AF16F6">
      <w:pPr>
        <w:autoSpaceDE w:val="0"/>
        <w:jc w:val="both"/>
        <w:rPr>
          <w:b/>
          <w:bCs/>
        </w:rPr>
      </w:pPr>
    </w:p>
    <w:p w:rsidR="00B05134" w:rsidRPr="00AF16F6" w:rsidRDefault="00B05134" w:rsidP="00AF16F6">
      <w:pPr>
        <w:autoSpaceDE w:val="0"/>
        <w:jc w:val="both"/>
        <w:rPr>
          <w:b/>
          <w:bCs/>
        </w:rPr>
      </w:pPr>
    </w:p>
    <w:p w:rsidR="00B05134" w:rsidRPr="00AF16F6" w:rsidRDefault="00B05134" w:rsidP="00AF16F6">
      <w:pPr>
        <w:autoSpaceDE w:val="0"/>
        <w:jc w:val="both"/>
      </w:pPr>
      <w:r w:rsidRPr="00AF16F6">
        <w:t>The Human Rig</w:t>
      </w:r>
      <w:r w:rsidR="003D486E">
        <w:t>hts Advisory Panel</w:t>
      </w:r>
      <w:r w:rsidR="001F537A">
        <w:t>,</w:t>
      </w:r>
      <w:r w:rsidR="003D486E">
        <w:t xml:space="preserve"> </w:t>
      </w:r>
      <w:r w:rsidR="004F230D">
        <w:t xml:space="preserve">sitting </w:t>
      </w:r>
      <w:r w:rsidR="003D486E">
        <w:t xml:space="preserve">on </w:t>
      </w:r>
      <w:r w:rsidR="00784011">
        <w:t>14</w:t>
      </w:r>
      <w:r w:rsidR="006E2A45">
        <w:t xml:space="preserve"> </w:t>
      </w:r>
      <w:r w:rsidR="004F230D">
        <w:t xml:space="preserve">March </w:t>
      </w:r>
      <w:r w:rsidR="006F3ADC" w:rsidRPr="006F3ADC">
        <w:t>2013</w:t>
      </w:r>
      <w:r w:rsidRPr="00AF16F6">
        <w:t>,</w:t>
      </w:r>
    </w:p>
    <w:p w:rsidR="00B05134" w:rsidRPr="00AF16F6" w:rsidRDefault="00B05134" w:rsidP="00AF16F6">
      <w:pPr>
        <w:autoSpaceDE w:val="0"/>
        <w:jc w:val="both"/>
      </w:pPr>
      <w:r w:rsidRPr="00AF16F6">
        <w:t xml:space="preserve">with the following members </w:t>
      </w:r>
      <w:r w:rsidR="004F230D">
        <w:t>present</w:t>
      </w:r>
      <w:r w:rsidRPr="00AF16F6">
        <w:t>:</w:t>
      </w:r>
    </w:p>
    <w:p w:rsidR="00B05134" w:rsidRPr="00AF16F6" w:rsidRDefault="00B05134" w:rsidP="00AF16F6">
      <w:pPr>
        <w:autoSpaceDE w:val="0"/>
        <w:jc w:val="both"/>
      </w:pPr>
    </w:p>
    <w:p w:rsidR="00B05134" w:rsidRPr="00AF16F6" w:rsidRDefault="00B05134" w:rsidP="00AF16F6">
      <w:pPr>
        <w:autoSpaceDE w:val="0"/>
        <w:jc w:val="both"/>
      </w:pPr>
      <w:r w:rsidRPr="00AF16F6">
        <w:t>Mr Marek NOWICKI, Presiding Member</w:t>
      </w:r>
    </w:p>
    <w:p w:rsidR="00B05134" w:rsidRDefault="00B05134" w:rsidP="00AF16F6">
      <w:pPr>
        <w:autoSpaceDE w:val="0"/>
        <w:jc w:val="both"/>
      </w:pPr>
      <w:r w:rsidRPr="00AF16F6">
        <w:t>Ms Christine CHINKIN</w:t>
      </w:r>
    </w:p>
    <w:p w:rsidR="006F3ADC" w:rsidRPr="00AF16F6" w:rsidRDefault="006F3ADC" w:rsidP="00AF16F6">
      <w:pPr>
        <w:autoSpaceDE w:val="0"/>
        <w:jc w:val="both"/>
      </w:pPr>
      <w:r>
        <w:t>Ms Françoise TULKENS</w:t>
      </w:r>
    </w:p>
    <w:p w:rsidR="00B05134" w:rsidRPr="00AF16F6" w:rsidRDefault="00B05134" w:rsidP="00AF16F6">
      <w:pPr>
        <w:autoSpaceDE w:val="0"/>
        <w:jc w:val="both"/>
      </w:pPr>
    </w:p>
    <w:p w:rsidR="00B05134" w:rsidRPr="00AF16F6" w:rsidRDefault="00B05134" w:rsidP="00AF16F6">
      <w:pPr>
        <w:autoSpaceDE w:val="0"/>
        <w:jc w:val="both"/>
      </w:pPr>
      <w:r w:rsidRPr="00AF16F6">
        <w:t>Assisted by</w:t>
      </w:r>
    </w:p>
    <w:p w:rsidR="00B05134" w:rsidRPr="00AF16F6" w:rsidRDefault="00700F1D" w:rsidP="00AF16F6">
      <w:pPr>
        <w:autoSpaceDE w:val="0"/>
        <w:jc w:val="both"/>
      </w:pPr>
      <w:r>
        <w:t>Mr Andrey</w:t>
      </w:r>
      <w:r w:rsidR="00B05134" w:rsidRPr="00AF16F6">
        <w:t xml:space="preserve"> </w:t>
      </w:r>
      <w:r>
        <w:t>ANTONOV,</w:t>
      </w:r>
      <w:r w:rsidR="00B05134" w:rsidRPr="00AF16F6">
        <w:t xml:space="preserve"> Executive Officer</w:t>
      </w:r>
    </w:p>
    <w:p w:rsidR="00B05134" w:rsidRPr="00AF16F6" w:rsidRDefault="00B05134" w:rsidP="00AF16F6">
      <w:pPr>
        <w:autoSpaceDE w:val="0"/>
        <w:jc w:val="both"/>
      </w:pPr>
    </w:p>
    <w:p w:rsidR="00B05134" w:rsidRPr="00AF16F6" w:rsidRDefault="00B05134" w:rsidP="00AF16F6">
      <w:pPr>
        <w:autoSpaceDE w:val="0"/>
        <w:jc w:val="both"/>
      </w:pPr>
      <w:r w:rsidRPr="00AF16F6">
        <w:t>Having considered the aforementioned complaint, introduced pursuant to Section 1.2 of UNMIK Regulation No. 2006/12 of 23 March 2006 on the Establishment of the Human Rights Advisory Panel,</w:t>
      </w:r>
    </w:p>
    <w:p w:rsidR="00B05134" w:rsidRPr="00AF16F6" w:rsidRDefault="00B05134" w:rsidP="00AF16F6">
      <w:pPr>
        <w:autoSpaceDE w:val="0"/>
        <w:jc w:val="both"/>
      </w:pPr>
    </w:p>
    <w:p w:rsidR="00B05134" w:rsidRPr="00AC0BA5" w:rsidRDefault="00B05134" w:rsidP="00AF16F6">
      <w:pPr>
        <w:autoSpaceDE w:val="0"/>
        <w:jc w:val="both"/>
      </w:pPr>
      <w:r w:rsidRPr="00104AA5">
        <w:t xml:space="preserve">Having </w:t>
      </w:r>
      <w:r w:rsidR="00A11698" w:rsidRPr="00104AA5">
        <w:t>deliberated,</w:t>
      </w:r>
      <w:r w:rsidR="00C11883">
        <w:t xml:space="preserve"> </w:t>
      </w:r>
      <w:r w:rsidRPr="00AC0BA5">
        <w:t xml:space="preserve">makes the </w:t>
      </w:r>
      <w:r w:rsidRPr="00A0641F">
        <w:t>following findings</w:t>
      </w:r>
      <w:r w:rsidR="001F537A">
        <w:t xml:space="preserve"> and recommendations</w:t>
      </w:r>
      <w:r w:rsidRPr="00A0641F">
        <w:t>:</w:t>
      </w:r>
    </w:p>
    <w:p w:rsidR="00B05134" w:rsidRPr="00AF16F6" w:rsidRDefault="00B05134" w:rsidP="00AF16F6">
      <w:pPr>
        <w:autoSpaceDE w:val="0"/>
        <w:jc w:val="both"/>
      </w:pPr>
    </w:p>
    <w:p w:rsidR="00B05134" w:rsidRPr="00AF16F6" w:rsidRDefault="00B05134" w:rsidP="00AF16F6">
      <w:pPr>
        <w:autoSpaceDE w:val="0"/>
        <w:jc w:val="both"/>
      </w:pPr>
    </w:p>
    <w:p w:rsidR="00B05134" w:rsidRPr="00AF16F6" w:rsidRDefault="00B05134" w:rsidP="00183BF4">
      <w:pPr>
        <w:numPr>
          <w:ilvl w:val="0"/>
          <w:numId w:val="9"/>
        </w:numPr>
        <w:autoSpaceDE w:val="0"/>
        <w:ind w:left="360" w:hanging="360"/>
        <w:jc w:val="both"/>
        <w:rPr>
          <w:b/>
          <w:bCs/>
        </w:rPr>
      </w:pPr>
      <w:r w:rsidRPr="00AF16F6">
        <w:rPr>
          <w:b/>
          <w:bCs/>
        </w:rPr>
        <w:t>PROCEEDINGS BEFORE THE PANEL</w:t>
      </w:r>
    </w:p>
    <w:p w:rsidR="004F230D" w:rsidRDefault="004F230D" w:rsidP="004F230D">
      <w:pPr>
        <w:pStyle w:val="Default"/>
        <w:tabs>
          <w:tab w:val="left" w:pos="360"/>
          <w:tab w:val="left" w:pos="720"/>
        </w:tabs>
        <w:jc w:val="both"/>
        <w:rPr>
          <w:lang w:val="en-GB"/>
        </w:rPr>
      </w:pPr>
    </w:p>
    <w:p w:rsidR="004F230D" w:rsidRPr="004F230D" w:rsidRDefault="004F230D" w:rsidP="004F230D">
      <w:pPr>
        <w:pStyle w:val="Default"/>
        <w:numPr>
          <w:ilvl w:val="0"/>
          <w:numId w:val="10"/>
        </w:numPr>
        <w:tabs>
          <w:tab w:val="left" w:pos="360"/>
          <w:tab w:val="left" w:pos="720"/>
        </w:tabs>
        <w:ind w:left="360"/>
        <w:jc w:val="both"/>
        <w:rPr>
          <w:lang w:val="en-GB"/>
        </w:rPr>
      </w:pPr>
      <w:r w:rsidRPr="004F230D">
        <w:t>The complaint was introduced on 30 April 2009 and registered on the same date.</w:t>
      </w:r>
    </w:p>
    <w:p w:rsidR="004F230D" w:rsidRPr="004F230D" w:rsidRDefault="004F230D" w:rsidP="004F230D">
      <w:pPr>
        <w:pStyle w:val="Default"/>
        <w:tabs>
          <w:tab w:val="left" w:pos="360"/>
          <w:tab w:val="left" w:pos="720"/>
        </w:tabs>
        <w:ind w:left="360"/>
        <w:jc w:val="both"/>
        <w:rPr>
          <w:lang w:val="en-GB"/>
        </w:rPr>
      </w:pPr>
    </w:p>
    <w:p w:rsidR="004F230D" w:rsidRPr="004F230D" w:rsidRDefault="004F230D" w:rsidP="004F230D">
      <w:pPr>
        <w:pStyle w:val="Default"/>
        <w:numPr>
          <w:ilvl w:val="0"/>
          <w:numId w:val="10"/>
        </w:numPr>
        <w:tabs>
          <w:tab w:val="left" w:pos="360"/>
          <w:tab w:val="left" w:pos="720"/>
        </w:tabs>
        <w:ind w:left="360"/>
        <w:jc w:val="both"/>
        <w:rPr>
          <w:lang w:val="en-GB"/>
        </w:rPr>
      </w:pPr>
      <w:r w:rsidRPr="004F230D">
        <w:t xml:space="preserve">On 9 December 2009, the Panel requested the complainant to submit further information. However, no response was received. </w:t>
      </w:r>
    </w:p>
    <w:p w:rsidR="004F230D" w:rsidRDefault="004F230D" w:rsidP="004F230D">
      <w:pPr>
        <w:pStyle w:val="ListParagraph"/>
      </w:pPr>
    </w:p>
    <w:p w:rsidR="004F230D" w:rsidRPr="00ED7FA5" w:rsidRDefault="004F230D" w:rsidP="004F230D">
      <w:pPr>
        <w:pStyle w:val="Default"/>
        <w:numPr>
          <w:ilvl w:val="0"/>
          <w:numId w:val="10"/>
        </w:numPr>
        <w:tabs>
          <w:tab w:val="left" w:pos="360"/>
          <w:tab w:val="left" w:pos="720"/>
        </w:tabs>
        <w:ind w:left="360"/>
        <w:jc w:val="both"/>
        <w:rPr>
          <w:lang w:val="en-GB"/>
        </w:rPr>
      </w:pPr>
      <w:r w:rsidRPr="004F230D">
        <w:t xml:space="preserve">On 26 January 2011, the Panel reiterated its request to the complainant for additional information. The complainant responded on 27 January 2011. </w:t>
      </w:r>
    </w:p>
    <w:p w:rsidR="00ED7FA5" w:rsidRDefault="00ED7FA5" w:rsidP="00ED7FA5">
      <w:pPr>
        <w:pStyle w:val="ListParagraph"/>
      </w:pPr>
    </w:p>
    <w:p w:rsidR="004F230D" w:rsidRPr="004F230D" w:rsidRDefault="004F230D" w:rsidP="004F230D">
      <w:pPr>
        <w:pStyle w:val="Default"/>
        <w:numPr>
          <w:ilvl w:val="0"/>
          <w:numId w:val="10"/>
        </w:numPr>
        <w:tabs>
          <w:tab w:val="left" w:pos="360"/>
          <w:tab w:val="left" w:pos="720"/>
        </w:tabs>
        <w:ind w:left="360"/>
        <w:jc w:val="both"/>
        <w:rPr>
          <w:lang w:val="en-GB"/>
        </w:rPr>
      </w:pPr>
      <w:r w:rsidRPr="004F230D">
        <w:lastRenderedPageBreak/>
        <w:t>On 16 June 2011, the Panel communicated the case to the Special Representative of the Secretary-General (SRSG)</w:t>
      </w:r>
      <w:r w:rsidRPr="004F230D">
        <w:rPr>
          <w:color w:val="auto"/>
          <w:vertAlign w:val="superscript"/>
          <w:lang w:val="en-GB" w:eastAsia="en-GB"/>
        </w:rPr>
        <w:footnoteReference w:id="1"/>
      </w:r>
      <w:r w:rsidRPr="004F230D">
        <w:t xml:space="preserve"> for UNMIK’s comments on the admissibility of the case.</w:t>
      </w:r>
    </w:p>
    <w:p w:rsidR="00642802" w:rsidRPr="004F230D" w:rsidRDefault="004F230D" w:rsidP="004F230D">
      <w:pPr>
        <w:pStyle w:val="Default"/>
        <w:numPr>
          <w:ilvl w:val="0"/>
          <w:numId w:val="10"/>
        </w:numPr>
        <w:tabs>
          <w:tab w:val="left" w:pos="360"/>
          <w:tab w:val="left" w:pos="720"/>
        </w:tabs>
        <w:ind w:left="360"/>
        <w:jc w:val="both"/>
        <w:rPr>
          <w:lang w:val="en-GB"/>
        </w:rPr>
      </w:pPr>
      <w:r w:rsidRPr="004F230D">
        <w:t xml:space="preserve">On 31 August 2011, </w:t>
      </w:r>
      <w:r>
        <w:t xml:space="preserve">the SRSG provided </w:t>
      </w:r>
      <w:r w:rsidRPr="004F230D">
        <w:t>UNMIK</w:t>
      </w:r>
      <w:r>
        <w:t>’s</w:t>
      </w:r>
      <w:r w:rsidRPr="004F230D">
        <w:t xml:space="preserve"> response.</w:t>
      </w:r>
    </w:p>
    <w:p w:rsidR="004F230D" w:rsidRDefault="004F230D" w:rsidP="004F230D">
      <w:pPr>
        <w:pStyle w:val="ListParagraph"/>
      </w:pPr>
    </w:p>
    <w:p w:rsidR="004F230D" w:rsidRDefault="004F230D" w:rsidP="004F230D">
      <w:pPr>
        <w:pStyle w:val="Default"/>
        <w:numPr>
          <w:ilvl w:val="0"/>
          <w:numId w:val="10"/>
        </w:numPr>
        <w:tabs>
          <w:tab w:val="left" w:pos="360"/>
          <w:tab w:val="left" w:pos="720"/>
        </w:tabs>
        <w:ind w:left="360"/>
        <w:jc w:val="both"/>
        <w:rPr>
          <w:lang w:val="en-GB"/>
        </w:rPr>
      </w:pPr>
      <w:r>
        <w:rPr>
          <w:lang w:val="en-GB"/>
        </w:rPr>
        <w:t>On 26 November 2011, the Panel declared the complaint partially admissible.</w:t>
      </w:r>
    </w:p>
    <w:p w:rsidR="004F230D" w:rsidRDefault="004F230D" w:rsidP="004F230D">
      <w:pPr>
        <w:pStyle w:val="ListParagraph"/>
      </w:pPr>
    </w:p>
    <w:p w:rsidR="004F230D" w:rsidRDefault="004F230D" w:rsidP="004F230D">
      <w:pPr>
        <w:pStyle w:val="Default"/>
        <w:numPr>
          <w:ilvl w:val="0"/>
          <w:numId w:val="10"/>
        </w:numPr>
        <w:tabs>
          <w:tab w:val="left" w:pos="360"/>
          <w:tab w:val="left" w:pos="720"/>
        </w:tabs>
        <w:ind w:left="360"/>
        <w:jc w:val="both"/>
        <w:rPr>
          <w:lang w:val="en-GB"/>
        </w:rPr>
      </w:pPr>
      <w:r>
        <w:rPr>
          <w:lang w:val="en-GB"/>
        </w:rPr>
        <w:t xml:space="preserve">On 29 November 2011, the Panel forwarded the decision on admissibility to the SRSG inviting UNMIK’s comments on the merits of the case. On 20 February 2012, the SRSG provided UNMIK’s response. </w:t>
      </w:r>
    </w:p>
    <w:p w:rsidR="004F230D" w:rsidRPr="004F230D" w:rsidRDefault="004F230D" w:rsidP="004F230D">
      <w:pPr>
        <w:pStyle w:val="Default"/>
        <w:tabs>
          <w:tab w:val="left" w:pos="360"/>
          <w:tab w:val="left" w:pos="720"/>
        </w:tabs>
        <w:jc w:val="both"/>
        <w:rPr>
          <w:lang w:val="en-GB"/>
        </w:rPr>
      </w:pPr>
    </w:p>
    <w:p w:rsidR="004B658F" w:rsidRPr="009D3ECC" w:rsidRDefault="004F230D" w:rsidP="00F748BD">
      <w:pPr>
        <w:pStyle w:val="Default"/>
        <w:numPr>
          <w:ilvl w:val="0"/>
          <w:numId w:val="10"/>
        </w:numPr>
        <w:tabs>
          <w:tab w:val="left" w:pos="360"/>
          <w:tab w:val="left" w:pos="720"/>
        </w:tabs>
        <w:ind w:left="360"/>
        <w:jc w:val="both"/>
        <w:rPr>
          <w:lang w:val="en-GB"/>
        </w:rPr>
      </w:pPr>
      <w:r>
        <w:rPr>
          <w:lang w:val="en-GB"/>
        </w:rPr>
        <w:t xml:space="preserve">On 25 February </w:t>
      </w:r>
      <w:r w:rsidR="00642802" w:rsidRPr="00104AA5">
        <w:rPr>
          <w:lang w:val="en-GB"/>
        </w:rPr>
        <w:t xml:space="preserve">2013, the Panel requested UNMIK to confirm if the disclosure of files concerning the case could be considered final. On the same date, UNMIK submitted its response. </w:t>
      </w:r>
    </w:p>
    <w:p w:rsidR="009D3ECC" w:rsidRDefault="009D3ECC" w:rsidP="00F748BD">
      <w:pPr>
        <w:pStyle w:val="Default"/>
        <w:jc w:val="both"/>
        <w:rPr>
          <w:lang w:val="en-GB"/>
        </w:rPr>
      </w:pPr>
    </w:p>
    <w:p w:rsidR="00ED7FA5" w:rsidRPr="000610EB" w:rsidRDefault="00ED7FA5" w:rsidP="00F748BD">
      <w:pPr>
        <w:pStyle w:val="Default"/>
        <w:jc w:val="both"/>
        <w:rPr>
          <w:lang w:val="en-GB"/>
        </w:rPr>
      </w:pPr>
    </w:p>
    <w:p w:rsidR="00B05134" w:rsidRPr="00700D5C" w:rsidRDefault="00B05134" w:rsidP="00AF16F6">
      <w:pPr>
        <w:tabs>
          <w:tab w:val="left" w:pos="357"/>
        </w:tabs>
        <w:autoSpaceDE w:val="0"/>
        <w:ind w:left="357" w:hanging="357"/>
        <w:jc w:val="both"/>
        <w:rPr>
          <w:b/>
          <w:bCs/>
        </w:rPr>
      </w:pPr>
      <w:r w:rsidRPr="00700D5C">
        <w:rPr>
          <w:b/>
          <w:bCs/>
        </w:rPr>
        <w:t>II. THE FACTS</w:t>
      </w:r>
    </w:p>
    <w:p w:rsidR="004D7192" w:rsidRPr="00700D5C" w:rsidRDefault="004D7192" w:rsidP="007D7CE3">
      <w:pPr>
        <w:jc w:val="both"/>
      </w:pPr>
    </w:p>
    <w:p w:rsidR="003D789E" w:rsidRPr="0055507B" w:rsidRDefault="003D789E" w:rsidP="00183BF4">
      <w:pPr>
        <w:numPr>
          <w:ilvl w:val="0"/>
          <w:numId w:val="2"/>
        </w:numPr>
        <w:contextualSpacing/>
        <w:jc w:val="both"/>
        <w:rPr>
          <w:b/>
        </w:rPr>
      </w:pPr>
      <w:r w:rsidRPr="0055507B">
        <w:rPr>
          <w:b/>
        </w:rPr>
        <w:t>General background</w:t>
      </w:r>
      <w:r w:rsidRPr="0055507B">
        <w:rPr>
          <w:rStyle w:val="FootnoteReference"/>
          <w:b/>
        </w:rPr>
        <w:footnoteReference w:id="2"/>
      </w:r>
      <w:r w:rsidRPr="0055507B">
        <w:rPr>
          <w:b/>
        </w:rPr>
        <w:t xml:space="preserve"> </w:t>
      </w:r>
    </w:p>
    <w:p w:rsidR="003D789E" w:rsidRPr="0055507B" w:rsidRDefault="003D789E" w:rsidP="003D789E">
      <w:pPr>
        <w:ind w:left="360"/>
        <w:jc w:val="both"/>
      </w:pPr>
    </w:p>
    <w:p w:rsidR="003D789E" w:rsidRPr="0055507B" w:rsidRDefault="003D789E" w:rsidP="00183BF4">
      <w:pPr>
        <w:pStyle w:val="Default"/>
        <w:numPr>
          <w:ilvl w:val="0"/>
          <w:numId w:val="10"/>
        </w:numPr>
        <w:tabs>
          <w:tab w:val="left" w:pos="360"/>
          <w:tab w:val="left" w:pos="720"/>
        </w:tabs>
        <w:ind w:left="360"/>
        <w:jc w:val="both"/>
      </w:pPr>
      <w:r w:rsidRPr="0055507B">
        <w:t xml:space="preserve">The </w:t>
      </w:r>
      <w:r w:rsidRPr="00875F2F">
        <w:rPr>
          <w:lang w:val="en-GB"/>
        </w:rPr>
        <w:t>events</w:t>
      </w:r>
      <w:r w:rsidRPr="0055507B">
        <w:t xml:space="preserve"> at issue took place in the territory of Kosovo after the establishment of the </w:t>
      </w:r>
      <w:r w:rsidRPr="008A7EFD">
        <w:t>United Nations</w:t>
      </w:r>
      <w:r w:rsidRPr="0055507B">
        <w:t xml:space="preserve"> Interim Administration Mission in Kosovo (UNMIK), in June 1999. </w:t>
      </w:r>
    </w:p>
    <w:p w:rsidR="003D789E" w:rsidRPr="0055507B" w:rsidRDefault="003D789E" w:rsidP="003D789E">
      <w:pPr>
        <w:ind w:left="360"/>
        <w:jc w:val="both"/>
      </w:pPr>
    </w:p>
    <w:p w:rsidR="003D789E" w:rsidRDefault="003D789E" w:rsidP="00183BF4">
      <w:pPr>
        <w:pStyle w:val="Default"/>
        <w:numPr>
          <w:ilvl w:val="0"/>
          <w:numId w:val="10"/>
        </w:numPr>
        <w:tabs>
          <w:tab w:val="left" w:pos="360"/>
          <w:tab w:val="left" w:pos="720"/>
        </w:tabs>
        <w:ind w:left="360"/>
        <w:jc w:val="both"/>
      </w:pPr>
      <w:r w:rsidRPr="0055507B">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w:t>
      </w:r>
      <w:r w:rsidRPr="00875F2F">
        <w:rPr>
          <w:lang w:val="en-GB"/>
        </w:rPr>
        <w:t>Atlantic</w:t>
      </w:r>
      <w:r w:rsidRPr="0055507B">
        <w:t xml:space="preserve">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3D789E" w:rsidRPr="00FD35C8" w:rsidRDefault="003D789E" w:rsidP="003D789E">
      <w:pPr>
        <w:jc w:val="both"/>
      </w:pPr>
    </w:p>
    <w:p w:rsidR="003D789E" w:rsidRPr="0055507B" w:rsidRDefault="003D789E" w:rsidP="00183BF4">
      <w:pPr>
        <w:pStyle w:val="Default"/>
        <w:numPr>
          <w:ilvl w:val="0"/>
          <w:numId w:val="10"/>
        </w:numPr>
        <w:tabs>
          <w:tab w:val="left" w:pos="360"/>
          <w:tab w:val="left" w:pos="720"/>
        </w:tabs>
        <w:ind w:left="360"/>
        <w:jc w:val="both"/>
      </w:pPr>
      <w:r w:rsidRPr="0055507B">
        <w:t>On 10 June 1999, the UN Security Council adopted Resolution 1244 (1999). Acting under Chapter VII of the UN Charter, the UN Security Council decided upon the deployment of international security and civil presences - KFOR and UNMIK respe</w:t>
      </w:r>
      <w:r w:rsidRPr="00875F2F">
        <w:t>c</w:t>
      </w:r>
      <w:r w:rsidRPr="0055507B">
        <w:t>tively - in the territory of Kosovo.  Pursuant to Security Council Resolution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3D789E" w:rsidRDefault="003D789E" w:rsidP="003D789E">
      <w:pPr>
        <w:ind w:left="360"/>
        <w:jc w:val="both"/>
        <w:rPr>
          <w:highlight w:val="yellow"/>
        </w:rPr>
      </w:pPr>
    </w:p>
    <w:p w:rsidR="003D789E" w:rsidRPr="00CF6950" w:rsidRDefault="003D789E" w:rsidP="00183BF4">
      <w:pPr>
        <w:pStyle w:val="Default"/>
        <w:numPr>
          <w:ilvl w:val="0"/>
          <w:numId w:val="10"/>
        </w:numPr>
        <w:tabs>
          <w:tab w:val="left" w:pos="360"/>
          <w:tab w:val="left" w:pos="720"/>
        </w:tabs>
        <w:ind w:left="360"/>
        <w:jc w:val="both"/>
      </w:pPr>
      <w:r w:rsidRPr="00CF6950">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3D789E" w:rsidRDefault="003D789E" w:rsidP="003D789E">
      <w:pPr>
        <w:pStyle w:val="ListParagraph"/>
      </w:pPr>
    </w:p>
    <w:p w:rsidR="003D789E" w:rsidRDefault="003D789E" w:rsidP="00183BF4">
      <w:pPr>
        <w:pStyle w:val="Default"/>
        <w:numPr>
          <w:ilvl w:val="0"/>
          <w:numId w:val="10"/>
        </w:numPr>
        <w:tabs>
          <w:tab w:val="left" w:pos="360"/>
          <w:tab w:val="left" w:pos="720"/>
        </w:tabs>
        <w:ind w:left="360"/>
        <w:jc w:val="both"/>
      </w:pPr>
      <w:r>
        <w:t>Meanwhile</w:t>
      </w:r>
      <w:r w:rsidRPr="00021B76">
        <w:t>, members of the non-Albanian community</w:t>
      </w:r>
      <w:r>
        <w:t xml:space="preserve"> – mainly but not exclusively</w:t>
      </w:r>
      <w:r w:rsidRPr="00021B76">
        <w:t xml:space="preserve"> </w:t>
      </w:r>
      <w:r>
        <w:t xml:space="preserve">Serbs, Roma and Slavic Muslims – as well as Kosovo Albanians suspected of collaboration with the Serbian authorities, </w:t>
      </w:r>
      <w:r w:rsidRPr="00021B76">
        <w:t xml:space="preserve">became the target of </w:t>
      </w:r>
      <w:r>
        <w:t>widespread</w:t>
      </w:r>
      <w:r w:rsidRPr="00021B76">
        <w:t xml:space="preserve"> attacks by Kosovo Albanian armed groups. </w:t>
      </w:r>
      <w:r>
        <w:t>Current e</w:t>
      </w:r>
      <w:r w:rsidRPr="00836460">
        <w:t>stimates relating to the number of Kosovo Serbs displaced fa</w:t>
      </w:r>
      <w:r>
        <w:t>ll within the region of 200,000 to 210,000</w:t>
      </w:r>
      <w:r w:rsidRPr="00836460">
        <w:t xml:space="preserve">. </w:t>
      </w:r>
      <w:r w:rsidRPr="00021B76">
        <w:t>W</w:t>
      </w:r>
      <w:r>
        <w:t>hereas most Kosovo Serbs and other non-Albanians fled to Serbia proper and the neighbouring countries</w:t>
      </w:r>
      <w:r w:rsidRPr="00021B76">
        <w:t xml:space="preserve">, those </w:t>
      </w:r>
      <w:r>
        <w:t xml:space="preserve">remaining </w:t>
      </w:r>
      <w:r w:rsidRPr="00021B76">
        <w:t>behind became victims of</w:t>
      </w:r>
      <w:r>
        <w:t xml:space="preserve"> systematic</w:t>
      </w:r>
      <w:r w:rsidRPr="00021B76">
        <w:t xml:space="preserve"> killings, abductions, arbitrary detentions, </w:t>
      </w:r>
      <w:r>
        <w:t xml:space="preserve">sexual and gender based violence, </w:t>
      </w:r>
      <w:r w:rsidRPr="00021B76">
        <w:t>beatings and harassment</w:t>
      </w:r>
      <w:r>
        <w:t xml:space="preserve">. </w:t>
      </w:r>
    </w:p>
    <w:p w:rsidR="003D789E" w:rsidRDefault="003D789E" w:rsidP="003D789E">
      <w:pPr>
        <w:pStyle w:val="ListParagraph"/>
      </w:pPr>
    </w:p>
    <w:p w:rsidR="003D789E" w:rsidRPr="00B8031A" w:rsidRDefault="003D789E" w:rsidP="00183BF4">
      <w:pPr>
        <w:pStyle w:val="Default"/>
        <w:numPr>
          <w:ilvl w:val="0"/>
          <w:numId w:val="10"/>
        </w:numPr>
        <w:tabs>
          <w:tab w:val="left" w:pos="360"/>
          <w:tab w:val="left" w:pos="720"/>
        </w:tabs>
        <w:ind w:left="360"/>
        <w:jc w:val="both"/>
      </w:pPr>
      <w:r>
        <w:t>Although figures remain disputed, it</w:t>
      </w:r>
      <w:r w:rsidRPr="008F369B">
        <w:t xml:space="preserve"> is estimated that </w:t>
      </w:r>
      <w:r>
        <w:t>more than 15,000 deaths or disappearances occurred during and in the immediate aftermath of the Kosovo conflict (1998-2000). More</w:t>
      </w:r>
      <w:r w:rsidRPr="008F369B">
        <w:t xml:space="preserve"> than 3,000 ethnic Albanians, </w:t>
      </w:r>
      <w:r>
        <w:t>and</w:t>
      </w:r>
      <w:r w:rsidRPr="008F369B">
        <w:t xml:space="preserve"> about 800</w:t>
      </w:r>
      <w:r w:rsidRPr="00E2255A">
        <w:t xml:space="preserve"> Serbs, Roma and members</w:t>
      </w:r>
      <w:r>
        <w:t xml:space="preserve"> of other minority communities went missing during this period.</w:t>
      </w:r>
      <w:r w:rsidRPr="008F369B">
        <w:t xml:space="preserve"> </w:t>
      </w:r>
      <w:r>
        <w:t>More than half of the</w:t>
      </w:r>
      <w:r w:rsidRPr="008F369B">
        <w:t xml:space="preserve"> missing persons had been loc</w:t>
      </w:r>
      <w:r>
        <w:t xml:space="preserve">ated and their mortal </w:t>
      </w:r>
      <w:r w:rsidRPr="00F72062">
        <w:t xml:space="preserve">remains identified by the end of 2010, while 1,766 are listed as still missing by the </w:t>
      </w:r>
      <w:r w:rsidR="008A7EFD">
        <w:t>International Committee of the Red Cross (</w:t>
      </w:r>
      <w:r w:rsidRPr="00F72062">
        <w:t>ICRC</w:t>
      </w:r>
      <w:r w:rsidR="008A7EFD">
        <w:t>)</w:t>
      </w:r>
      <w:r w:rsidRPr="00F72062">
        <w:t xml:space="preserve"> as of October 2012.</w:t>
      </w:r>
    </w:p>
    <w:p w:rsidR="003D789E" w:rsidRDefault="003D789E" w:rsidP="003D789E">
      <w:pPr>
        <w:ind w:left="360"/>
        <w:jc w:val="both"/>
      </w:pPr>
    </w:p>
    <w:p w:rsidR="003D789E" w:rsidRDefault="003D789E" w:rsidP="00183BF4">
      <w:pPr>
        <w:pStyle w:val="Default"/>
        <w:numPr>
          <w:ilvl w:val="0"/>
          <w:numId w:val="10"/>
        </w:numPr>
        <w:tabs>
          <w:tab w:val="left" w:pos="360"/>
          <w:tab w:val="left" w:pos="720"/>
        </w:tabs>
        <w:ind w:left="360"/>
        <w:jc w:val="both"/>
      </w:pPr>
      <w: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w:t>
      </w:r>
      <w:r w:rsidRPr="00CF6950">
        <w:t xml:space="preserve">law enforcement and to work towards the development of a Kosovo police service. By September 1999, </w:t>
      </w:r>
      <w:r>
        <w:t xml:space="preserve">approximately </w:t>
      </w:r>
      <w:r w:rsidRPr="00CF6950">
        <w:t>1,100 international police officers had been deployed to UNMIK.</w:t>
      </w:r>
      <w:r>
        <w:t xml:space="preserve">  </w:t>
      </w:r>
    </w:p>
    <w:p w:rsidR="003D789E" w:rsidRDefault="003D789E" w:rsidP="003D789E">
      <w:pPr>
        <w:pStyle w:val="ListParagraph"/>
      </w:pPr>
    </w:p>
    <w:p w:rsidR="003D789E" w:rsidRDefault="003D789E" w:rsidP="00183BF4">
      <w:pPr>
        <w:pStyle w:val="Default"/>
        <w:numPr>
          <w:ilvl w:val="0"/>
          <w:numId w:val="10"/>
        </w:numPr>
        <w:tabs>
          <w:tab w:val="left" w:pos="360"/>
          <w:tab w:val="left" w:pos="720"/>
        </w:tabs>
        <w:ind w:left="360"/>
        <w:jc w:val="both"/>
      </w:pPr>
      <w:r>
        <w:t>By December 2000, the deployment of UNMIK Police was almost complete with 4,400 personnel from 53 different countries, and UNMIK had assumed primacy in law enforcemen</w:t>
      </w:r>
      <w:r w:rsidRPr="00875F2F">
        <w:t>t</w:t>
      </w:r>
      <w:r>
        <w:t xml:space="preserve"> responsibility in all regions of Kosovo except for Mitrovicë/Mitrovica. </w:t>
      </w:r>
      <w:r w:rsidRPr="00CF6950">
        <w:t>According to the 2000 Annual Report of</w:t>
      </w:r>
      <w:r w:rsidRPr="00B81465">
        <w:t xml:space="preserve"> UNMIK Police, 351 kidnapping</w:t>
      </w:r>
      <w:r>
        <w:t>s, 675 murders and 115 rapes had been</w:t>
      </w:r>
      <w:r w:rsidRPr="00B81465">
        <w:t xml:space="preserve"> reported</w:t>
      </w:r>
      <w:r>
        <w:t xml:space="preserve"> to them</w:t>
      </w:r>
      <w:r w:rsidRPr="00B81465">
        <w:t xml:space="preserve"> in the period betw</w:t>
      </w:r>
      <w:r>
        <w:t xml:space="preserve">een June 1999 and </w:t>
      </w:r>
      <w:r w:rsidRPr="006573D3">
        <w:t>December 2000.</w:t>
      </w:r>
      <w:r>
        <w:t xml:space="preserve"> </w:t>
      </w:r>
    </w:p>
    <w:p w:rsidR="003D789E" w:rsidRDefault="003D789E" w:rsidP="003D789E">
      <w:pPr>
        <w:jc w:val="both"/>
      </w:pPr>
    </w:p>
    <w:p w:rsidR="003D789E" w:rsidRPr="00300B3D" w:rsidRDefault="003D789E" w:rsidP="00183BF4">
      <w:pPr>
        <w:pStyle w:val="Default"/>
        <w:numPr>
          <w:ilvl w:val="0"/>
          <w:numId w:val="10"/>
        </w:numPr>
        <w:tabs>
          <w:tab w:val="left" w:pos="360"/>
          <w:tab w:val="left" w:pos="720"/>
        </w:tabs>
        <w:ind w:left="360"/>
        <w:jc w:val="both"/>
      </w:pPr>
      <w:r>
        <w:t xml:space="preserve">Due to the collapse of the administration of justice in Kosovo, UNMIK established in June 1999 an Emergency Justice System. This was composed of a limited number of local judges and prosecutors and </w:t>
      </w:r>
      <w:r w:rsidRPr="00300B3D">
        <w:t xml:space="preserve">was operational until a regular justice system became </w:t>
      </w:r>
      <w:r>
        <w:t>operative</w:t>
      </w:r>
      <w:r w:rsidRPr="00300B3D">
        <w:t xml:space="preserve"> in January 2000.</w:t>
      </w:r>
      <w:r>
        <w:t xml:space="preserve">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 </w:t>
      </w:r>
    </w:p>
    <w:p w:rsidR="003D789E" w:rsidRPr="0099600B" w:rsidRDefault="003D789E" w:rsidP="003D789E">
      <w:pPr>
        <w:jc w:val="both"/>
      </w:pPr>
    </w:p>
    <w:p w:rsidR="003D789E" w:rsidRDefault="003D789E" w:rsidP="00183BF4">
      <w:pPr>
        <w:pStyle w:val="Default"/>
        <w:numPr>
          <w:ilvl w:val="0"/>
          <w:numId w:val="10"/>
        </w:numPr>
        <w:tabs>
          <w:tab w:val="left" w:pos="360"/>
          <w:tab w:val="left" w:pos="720"/>
        </w:tabs>
        <w:ind w:left="360"/>
        <w:jc w:val="both"/>
      </w:pPr>
      <w:r>
        <w:t xml:space="preserve">In July 1999, the UN Secretary-General reported to the Security Council that </w:t>
      </w:r>
      <w:r w:rsidRPr="00173DDC">
        <w:t>UNMIK</w:t>
      </w:r>
      <w:r>
        <w:t xml:space="preserve"> already</w:t>
      </w:r>
      <w:r w:rsidRPr="00173DDC">
        <w:t xml:space="preserve"> considered the issue of missing persons as a particularly acute human rights concern in Kosovo.</w:t>
      </w:r>
      <w:r>
        <w:t xml:space="preserve"> In November 1999, a</w:t>
      </w:r>
      <w:r w:rsidRPr="0099600B">
        <w:t xml:space="preserve"> Missing Perso</w:t>
      </w:r>
      <w:r>
        <w:t>ns Unit (MPU) was established within UNMIK Police, mandated to investigate</w:t>
      </w:r>
      <w:r w:rsidRPr="0099600B">
        <w:t xml:space="preserve"> </w:t>
      </w:r>
      <w:r>
        <w:t>with respect to</w:t>
      </w:r>
      <w:r w:rsidRPr="0099600B">
        <w:t xml:space="preserve"> either the possible location of missing persons and/or gravesites.</w:t>
      </w:r>
      <w:r w:rsidRPr="009D5FE3">
        <w:t xml:space="preserve"> </w:t>
      </w:r>
      <w:r>
        <w:t xml:space="preserve">The MPU, jointly with the Central Criminal Investigation Unit (CCIU) of UNMIK Police, and later a dedicated War Crimes Investigation Unit (WCIU), were responsible for the criminal aspects of missing persons cases in Kosovo. </w:t>
      </w:r>
      <w:r w:rsidRPr="0099600B">
        <w:t>In</w:t>
      </w:r>
      <w:r>
        <w:t xml:space="preserve"> May 2000, a Victim Recovery and Identification Commission (VRIC) chaired by UNMIK was created for the recovery</w:t>
      </w:r>
      <w:r w:rsidRPr="00CB6011">
        <w:t xml:space="preserve">, identification and disposition of mortal remains. As of June 2002, the newly established </w:t>
      </w:r>
      <w:r w:rsidR="006F433F">
        <w:t>OMPF</w:t>
      </w:r>
      <w:r w:rsidRPr="00CB6011">
        <w:t xml:space="preserve"> in the UNMIK Department of Justice (DOJ)</w:t>
      </w:r>
      <w:r w:rsidRPr="0099600B">
        <w:t xml:space="preserve"> </w:t>
      </w:r>
      <w:r>
        <w:t xml:space="preserve">became the sole authority </w:t>
      </w:r>
      <w:r w:rsidRPr="0099600B">
        <w:t xml:space="preserve">mandated to </w:t>
      </w:r>
      <w:r>
        <w:t>determine the whereabouts of</w:t>
      </w:r>
      <w:r w:rsidRPr="0099600B">
        <w:t xml:space="preserve"> missing persons</w:t>
      </w:r>
      <w:r>
        <w:t>,</w:t>
      </w:r>
      <w:r w:rsidRPr="0099600B">
        <w:t xml:space="preserve"> identify their mortal remains and return them to the family of the missing. </w:t>
      </w:r>
      <w:r>
        <w:t xml:space="preserve">Starting from 2001, based on a Memorandum of Understanding (MoU) </w:t>
      </w:r>
      <w:r w:rsidRPr="0099600B">
        <w:t>between UNMIK and the Sarajevo-based International Commission of Missing Persons (ICMP),</w:t>
      </w:r>
      <w:r>
        <w:t xml:space="preserve"> supplemented by a further agreement in 2003,</w:t>
      </w:r>
      <w:r w:rsidRPr="0099600B">
        <w:t xml:space="preserve"> the identification of </w:t>
      </w:r>
      <w:r>
        <w:t>mortal remains was carried out by the IC</w:t>
      </w:r>
      <w:r w:rsidRPr="0099600B">
        <w:t>M</w:t>
      </w:r>
      <w:r>
        <w:t>P</w:t>
      </w:r>
      <w:r w:rsidRPr="0099600B">
        <w:t xml:space="preserve"> through DNA testing. </w:t>
      </w:r>
    </w:p>
    <w:p w:rsidR="003D789E" w:rsidRDefault="003D789E" w:rsidP="003D789E">
      <w:pPr>
        <w:ind w:left="360"/>
        <w:jc w:val="both"/>
      </w:pPr>
    </w:p>
    <w:p w:rsidR="003D789E" w:rsidRDefault="003D789E" w:rsidP="00183BF4">
      <w:pPr>
        <w:pStyle w:val="Default"/>
        <w:numPr>
          <w:ilvl w:val="0"/>
          <w:numId w:val="10"/>
        </w:numPr>
        <w:tabs>
          <w:tab w:val="left" w:pos="360"/>
          <w:tab w:val="left" w:pos="720"/>
        </w:tabs>
        <w:ind w:left="360"/>
        <w:jc w:val="both"/>
      </w:pPr>
      <w: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p>
    <w:p w:rsidR="003D789E" w:rsidRDefault="003D789E" w:rsidP="003D789E">
      <w:pPr>
        <w:jc w:val="both"/>
      </w:pPr>
    </w:p>
    <w:p w:rsidR="00E125C2" w:rsidRDefault="003D789E" w:rsidP="00E125C2">
      <w:pPr>
        <w:pStyle w:val="Default"/>
        <w:numPr>
          <w:ilvl w:val="0"/>
          <w:numId w:val="10"/>
        </w:numPr>
        <w:tabs>
          <w:tab w:val="left" w:pos="360"/>
          <w:tab w:val="left" w:pos="720"/>
        </w:tabs>
        <w:ind w:left="360"/>
        <w:jc w:val="both"/>
      </w:pPr>
      <w:r>
        <w:t xml:space="preserve">On the same date, UNMIK and EULEX </w:t>
      </w:r>
      <w:r w:rsidRPr="002B0805">
        <w:t>signed a</w:t>
      </w:r>
      <w:r>
        <w:t xml:space="preserve">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p>
    <w:p w:rsidR="00E125C2" w:rsidRDefault="00E125C2" w:rsidP="00E125C2">
      <w:pPr>
        <w:pStyle w:val="ListParagraph"/>
      </w:pPr>
    </w:p>
    <w:p w:rsidR="00E125C2" w:rsidRPr="00E125C2" w:rsidRDefault="00F06A0C" w:rsidP="00E125C2">
      <w:pPr>
        <w:pStyle w:val="Default"/>
        <w:tabs>
          <w:tab w:val="left" w:pos="360"/>
          <w:tab w:val="left" w:pos="720"/>
        </w:tabs>
        <w:jc w:val="both"/>
        <w:rPr>
          <w:b/>
        </w:rPr>
      </w:pPr>
      <w:r>
        <w:rPr>
          <w:b/>
        </w:rPr>
        <w:t>B</w:t>
      </w:r>
      <w:r w:rsidR="00E125C2" w:rsidRPr="00E125C2">
        <w:rPr>
          <w:b/>
        </w:rPr>
        <w:t>.</w:t>
      </w:r>
      <w:r w:rsidR="00E125C2" w:rsidRPr="00E125C2">
        <w:rPr>
          <w:b/>
        </w:rPr>
        <w:tab/>
        <w:t>Circumstances surro</w:t>
      </w:r>
      <w:r>
        <w:rPr>
          <w:b/>
        </w:rPr>
        <w:t>unding the abduction and death</w:t>
      </w:r>
      <w:r w:rsidR="00E125C2" w:rsidRPr="00E125C2">
        <w:rPr>
          <w:b/>
        </w:rPr>
        <w:t xml:space="preserve"> of Mr Dušan Bogićević</w:t>
      </w:r>
    </w:p>
    <w:p w:rsidR="00E125C2" w:rsidRDefault="00E125C2" w:rsidP="00E125C2">
      <w:pPr>
        <w:pStyle w:val="ListParagraph"/>
      </w:pPr>
    </w:p>
    <w:p w:rsidR="00221525" w:rsidRDefault="00E125C2" w:rsidP="00221525">
      <w:pPr>
        <w:pStyle w:val="Default"/>
        <w:numPr>
          <w:ilvl w:val="0"/>
          <w:numId w:val="10"/>
        </w:numPr>
        <w:tabs>
          <w:tab w:val="left" w:pos="360"/>
          <w:tab w:val="left" w:pos="720"/>
        </w:tabs>
        <w:ind w:left="360"/>
        <w:jc w:val="both"/>
      </w:pPr>
      <w:r w:rsidRPr="00E125C2">
        <w:t xml:space="preserve">The </w:t>
      </w:r>
      <w:r>
        <w:t>complainant</w:t>
      </w:r>
      <w:r w:rsidR="00302B8D">
        <w:t xml:space="preserve"> </w:t>
      </w:r>
      <w:r>
        <w:t xml:space="preserve">is the sister of </w:t>
      </w:r>
      <w:r w:rsidRPr="00E125C2">
        <w:t>Dušan Bogićević.</w:t>
      </w:r>
      <w:r w:rsidR="00302B8D">
        <w:t xml:space="preserve"> She is a former resident of Kosovo currently residing in Serbia proper.</w:t>
      </w:r>
    </w:p>
    <w:p w:rsidR="00690ED1" w:rsidRDefault="00690ED1" w:rsidP="00690ED1">
      <w:pPr>
        <w:pStyle w:val="Default"/>
        <w:tabs>
          <w:tab w:val="left" w:pos="360"/>
          <w:tab w:val="left" w:pos="720"/>
        </w:tabs>
        <w:ind w:left="360"/>
        <w:jc w:val="both"/>
      </w:pPr>
    </w:p>
    <w:p w:rsidR="00C506D5" w:rsidRDefault="00E125C2" w:rsidP="00FC52DD">
      <w:pPr>
        <w:pStyle w:val="Default"/>
        <w:numPr>
          <w:ilvl w:val="0"/>
          <w:numId w:val="10"/>
        </w:numPr>
        <w:tabs>
          <w:tab w:val="left" w:pos="360"/>
          <w:tab w:val="left" w:pos="720"/>
        </w:tabs>
        <w:ind w:left="360"/>
        <w:jc w:val="both"/>
      </w:pPr>
      <w:r w:rsidRPr="00E125C2">
        <w:t>The complainant states that her brother</w:t>
      </w:r>
      <w:r w:rsidR="00C5029B">
        <w:t xml:space="preserve"> disappeared</w:t>
      </w:r>
      <w:r w:rsidRPr="00E125C2">
        <w:t xml:space="preserve"> </w:t>
      </w:r>
      <w:r w:rsidR="00C5029B">
        <w:t xml:space="preserve">on 17 June 1999 </w:t>
      </w:r>
      <w:r w:rsidRPr="00E125C2">
        <w:t>from the to</w:t>
      </w:r>
      <w:r>
        <w:t>wn of Pejë/Peć.</w:t>
      </w:r>
      <w:r w:rsidR="00FC52DD">
        <w:t xml:space="preserve"> </w:t>
      </w:r>
      <w:r w:rsidR="00221525">
        <w:t>The complainant further states that</w:t>
      </w:r>
      <w:r w:rsidR="00302B8D">
        <w:t xml:space="preserve">, following the disappearance, she was </w:t>
      </w:r>
      <w:r w:rsidR="00221525">
        <w:t>informed by</w:t>
      </w:r>
      <w:r>
        <w:t xml:space="preserve"> a witness</w:t>
      </w:r>
      <w:r w:rsidR="00221525">
        <w:t xml:space="preserve"> of Albanian ethnicity that</w:t>
      </w:r>
      <w:r>
        <w:t xml:space="preserve"> </w:t>
      </w:r>
      <w:r w:rsidRPr="00E125C2">
        <w:t xml:space="preserve">Dušan Bogićević </w:t>
      </w:r>
      <w:r w:rsidR="00FC52DD">
        <w:t xml:space="preserve">had been </w:t>
      </w:r>
      <w:r w:rsidR="00221525">
        <w:t>abducted</w:t>
      </w:r>
      <w:r>
        <w:t xml:space="preserve"> </w:t>
      </w:r>
      <w:r w:rsidR="00302B8D">
        <w:t xml:space="preserve">by </w:t>
      </w:r>
      <w:r w:rsidRPr="00E125C2">
        <w:t>members of t</w:t>
      </w:r>
      <w:r w:rsidR="00302B8D">
        <w:t>he KLA</w:t>
      </w:r>
      <w:r>
        <w:t xml:space="preserve"> in front of the </w:t>
      </w:r>
      <w:r w:rsidR="0084708E">
        <w:t>“Shoe and Leather F</w:t>
      </w:r>
      <w:r w:rsidR="00243F65">
        <w:t xml:space="preserve">actory” building in </w:t>
      </w:r>
      <w:r w:rsidR="00243F65" w:rsidRPr="00243F65">
        <w:t>Pejë/Peć</w:t>
      </w:r>
      <w:r w:rsidRPr="00E125C2">
        <w:t xml:space="preserve">.  </w:t>
      </w:r>
    </w:p>
    <w:p w:rsidR="00C506D5" w:rsidRDefault="00C506D5" w:rsidP="00C506D5">
      <w:pPr>
        <w:pStyle w:val="ListParagraph"/>
      </w:pPr>
    </w:p>
    <w:p w:rsidR="00407D8E" w:rsidRDefault="00E125C2" w:rsidP="00407D8E">
      <w:pPr>
        <w:pStyle w:val="Default"/>
        <w:numPr>
          <w:ilvl w:val="0"/>
          <w:numId w:val="10"/>
        </w:numPr>
        <w:tabs>
          <w:tab w:val="left" w:pos="360"/>
          <w:tab w:val="left" w:pos="720"/>
        </w:tabs>
        <w:ind w:left="360"/>
        <w:jc w:val="both"/>
      </w:pPr>
      <w:r w:rsidRPr="00E125C2">
        <w:t xml:space="preserve">The complainant states that </w:t>
      </w:r>
      <w:r w:rsidR="0036639E">
        <w:t>Dušan Bogićević</w:t>
      </w:r>
      <w:r w:rsidRPr="00E125C2">
        <w:t xml:space="preserve">’s </w:t>
      </w:r>
      <w:r w:rsidR="00BE75F9">
        <w:t>abduction</w:t>
      </w:r>
      <w:r w:rsidRPr="00E125C2">
        <w:t xml:space="preserve"> was immediately reported to the </w:t>
      </w:r>
      <w:r w:rsidR="00C506D5">
        <w:t>ICRC and</w:t>
      </w:r>
      <w:r w:rsidRPr="00E125C2">
        <w:t xml:space="preserve"> </w:t>
      </w:r>
      <w:r w:rsidR="00C506D5">
        <w:t>to the Italian KFOR in Pejë/Peć, w</w:t>
      </w:r>
      <w:r w:rsidR="00F06A0C">
        <w:t>hich helped her in the search for</w:t>
      </w:r>
      <w:r w:rsidR="00C506D5">
        <w:t xml:space="preserve"> </w:t>
      </w:r>
      <w:r w:rsidR="0036639E">
        <w:t xml:space="preserve">her brother </w:t>
      </w:r>
      <w:r w:rsidR="00C506D5">
        <w:t>in the</w:t>
      </w:r>
      <w:r w:rsidR="0025232F">
        <w:t xml:space="preserve"> aftermath of the </w:t>
      </w:r>
      <w:r w:rsidR="0036639E">
        <w:t>abduction</w:t>
      </w:r>
      <w:r w:rsidR="00C506D5">
        <w:t xml:space="preserve">. She states that she </w:t>
      </w:r>
      <w:r w:rsidR="00F06A0C">
        <w:t xml:space="preserve">also reported the abduction </w:t>
      </w:r>
      <w:r w:rsidR="0025232F">
        <w:t xml:space="preserve">to UNMIK Police and that subsequently she </w:t>
      </w:r>
      <w:r w:rsidR="00C506D5">
        <w:t xml:space="preserve">contacted </w:t>
      </w:r>
      <w:r w:rsidR="0025232F">
        <w:t>them</w:t>
      </w:r>
      <w:r w:rsidR="00F06A0C">
        <w:t xml:space="preserve"> to enquire about</w:t>
      </w:r>
      <w:r w:rsidR="00C506D5">
        <w:t xml:space="preserve"> the fate of her brother and requesting </w:t>
      </w:r>
      <w:r w:rsidR="00F06A0C">
        <w:t xml:space="preserve">that </w:t>
      </w:r>
      <w:r w:rsidR="00C506D5">
        <w:t>an investigation</w:t>
      </w:r>
      <w:r w:rsidR="0036639E">
        <w:t xml:space="preserve"> to</w:t>
      </w:r>
      <w:r w:rsidR="00C506D5">
        <w:t xml:space="preserve"> be initiated. However, she was not provided with any feedback.</w:t>
      </w:r>
    </w:p>
    <w:p w:rsidR="00407D8E" w:rsidRDefault="00407D8E" w:rsidP="00407D8E">
      <w:pPr>
        <w:pStyle w:val="ListParagraph"/>
      </w:pPr>
    </w:p>
    <w:p w:rsidR="00C506D5" w:rsidRDefault="00C506D5" w:rsidP="00407D8E">
      <w:pPr>
        <w:pStyle w:val="Default"/>
        <w:numPr>
          <w:ilvl w:val="0"/>
          <w:numId w:val="10"/>
        </w:numPr>
        <w:tabs>
          <w:tab w:val="left" w:pos="360"/>
          <w:tab w:val="left" w:pos="720"/>
        </w:tabs>
        <w:ind w:left="360"/>
        <w:jc w:val="both"/>
      </w:pPr>
      <w:r>
        <w:t>The complaiant states that the mortal remains of Dušan Bogićević were found in</w:t>
      </w:r>
      <w:r w:rsidR="00407D8E" w:rsidRPr="00407D8E">
        <w:t xml:space="preserve"> Brezhanik/Breža</w:t>
      </w:r>
      <w:r w:rsidRPr="00407D8E">
        <w:t>nik</w:t>
      </w:r>
      <w:r>
        <w:t xml:space="preserve"> and that their identification was carried out in collaboration wit</w:t>
      </w:r>
      <w:r w:rsidR="0036639E">
        <w:t>h her</w:t>
      </w:r>
      <w:r w:rsidR="00407D8E">
        <w:t xml:space="preserve"> brother’s wife and sons. </w:t>
      </w:r>
      <w:r w:rsidRPr="00C506D5">
        <w:t>Dušan Bogićević</w:t>
      </w:r>
      <w:r>
        <w:t xml:space="preserve"> was buried in </w:t>
      </w:r>
      <w:r w:rsidRPr="000A5BD8">
        <w:t>Kralievo,</w:t>
      </w:r>
      <w:r>
        <w:t xml:space="preserve"> Serbia proper, in March 2007. </w:t>
      </w:r>
    </w:p>
    <w:p w:rsidR="00EA0BAC" w:rsidRDefault="00EA0BAC" w:rsidP="00770C56">
      <w:pPr>
        <w:jc w:val="both"/>
        <w:rPr>
          <w:b/>
        </w:rPr>
      </w:pPr>
    </w:p>
    <w:p w:rsidR="00BE5874" w:rsidRPr="000D0924" w:rsidRDefault="00770C56" w:rsidP="00770C56">
      <w:pPr>
        <w:jc w:val="both"/>
      </w:pPr>
      <w:r w:rsidRPr="000D0924">
        <w:rPr>
          <w:b/>
        </w:rPr>
        <w:t>C. T</w:t>
      </w:r>
      <w:r w:rsidR="00CF4291" w:rsidRPr="000D0924">
        <w:rPr>
          <w:b/>
        </w:rPr>
        <w:t>he i</w:t>
      </w:r>
      <w:r w:rsidR="00E87DAF" w:rsidRPr="000D0924">
        <w:rPr>
          <w:b/>
        </w:rPr>
        <w:t>nvestigation</w:t>
      </w:r>
      <w:r w:rsidR="00450858" w:rsidRPr="000D0924">
        <w:rPr>
          <w:b/>
        </w:rPr>
        <w:t xml:space="preserve"> </w:t>
      </w:r>
    </w:p>
    <w:p w:rsidR="00450858" w:rsidRPr="00770C56" w:rsidRDefault="00450858" w:rsidP="00450858">
      <w:pPr>
        <w:jc w:val="both"/>
        <w:rPr>
          <w:i/>
        </w:rPr>
      </w:pPr>
    </w:p>
    <w:p w:rsidR="00445502" w:rsidRPr="00F06A0C" w:rsidRDefault="00C80871" w:rsidP="00183BF4">
      <w:pPr>
        <w:pStyle w:val="Default"/>
        <w:numPr>
          <w:ilvl w:val="0"/>
          <w:numId w:val="10"/>
        </w:numPr>
        <w:tabs>
          <w:tab w:val="left" w:pos="360"/>
          <w:tab w:val="left" w:pos="720"/>
        </w:tabs>
        <w:ind w:left="360"/>
        <w:jc w:val="both"/>
      </w:pPr>
      <w:r w:rsidRPr="00F06A0C">
        <w:t>In the present case, the Panel</w:t>
      </w:r>
      <w:r w:rsidR="00DE5239" w:rsidRPr="00F06A0C">
        <w:t xml:space="preserve"> r</w:t>
      </w:r>
      <w:r w:rsidR="00F06A0C" w:rsidRPr="00F06A0C">
        <w:t>eceived from UNMIK investigative</w:t>
      </w:r>
      <w:r w:rsidR="00DE5239" w:rsidRPr="00F06A0C">
        <w:t xml:space="preserve"> documents previously held by the UNMIK OMPF</w:t>
      </w:r>
      <w:r w:rsidR="00EF774C" w:rsidRPr="00F06A0C">
        <w:t xml:space="preserve"> and a </w:t>
      </w:r>
      <w:r w:rsidR="0036639E" w:rsidRPr="00F06A0C">
        <w:t xml:space="preserve">Case Analysis Report of the </w:t>
      </w:r>
      <w:r w:rsidR="00EF774C" w:rsidRPr="00F06A0C">
        <w:t>EULEX</w:t>
      </w:r>
      <w:r w:rsidR="00D71FE3" w:rsidRPr="00F06A0C">
        <w:t xml:space="preserve"> WCIU</w:t>
      </w:r>
      <w:r w:rsidR="00EF774C" w:rsidRPr="00F06A0C">
        <w:t xml:space="preserve"> </w:t>
      </w:r>
      <w:r w:rsidR="00D71FE3" w:rsidRPr="00F06A0C">
        <w:t>providing a summary</w:t>
      </w:r>
      <w:r w:rsidR="0036639E" w:rsidRPr="00F06A0C">
        <w:t xml:space="preserve"> </w:t>
      </w:r>
      <w:r w:rsidR="00D71FE3" w:rsidRPr="00F06A0C">
        <w:t>of acti</w:t>
      </w:r>
      <w:r w:rsidR="0036639E" w:rsidRPr="00F06A0C">
        <w:t>ons undertaken by UNMIK Police.</w:t>
      </w:r>
    </w:p>
    <w:p w:rsidR="00345C36" w:rsidRDefault="00345C36" w:rsidP="00345C36">
      <w:pPr>
        <w:pStyle w:val="ListParagraph"/>
        <w:ind w:left="360"/>
        <w:jc w:val="both"/>
      </w:pPr>
    </w:p>
    <w:p w:rsidR="000831F5" w:rsidRPr="0036639E" w:rsidRDefault="00482131" w:rsidP="000831F5">
      <w:pPr>
        <w:pStyle w:val="Default"/>
        <w:numPr>
          <w:ilvl w:val="0"/>
          <w:numId w:val="10"/>
        </w:numPr>
        <w:tabs>
          <w:tab w:val="left" w:pos="360"/>
          <w:tab w:val="left" w:pos="720"/>
        </w:tabs>
        <w:ind w:left="360"/>
        <w:jc w:val="both"/>
      </w:pPr>
      <w:r w:rsidRPr="0036639E">
        <w:t xml:space="preserve">Concerning disclosure of information contained in the files, the Panel recalls that </w:t>
      </w:r>
      <w:r w:rsidR="00F06A0C">
        <w:t xml:space="preserve">UNMIK has made available </w:t>
      </w:r>
      <w:r w:rsidRPr="0036639E">
        <w:t xml:space="preserve">investigation files </w:t>
      </w:r>
      <w:r w:rsidR="00F06A0C">
        <w:t xml:space="preserve">for the Panel’s review </w:t>
      </w:r>
      <w:r w:rsidRPr="0036639E">
        <w:t>under a pled</w:t>
      </w:r>
      <w:r w:rsidR="00F06A0C">
        <w:t>ge of confidentiality</w:t>
      </w:r>
      <w:r w:rsidRPr="0036639E">
        <w:t>. In this regard, the Panel must clarify that although its assessment of the present case stems from a thorough examination of the available documentation, only limited information contained therein is disclosed. Hence a sy</w:t>
      </w:r>
      <w:r w:rsidR="002F482C">
        <w:t>nopsis of</w:t>
      </w:r>
      <w:r w:rsidRPr="0036639E">
        <w:t xml:space="preserve"> steps taken by investigative authorities is provided in the paragraphs to follow.  </w:t>
      </w:r>
    </w:p>
    <w:p w:rsidR="000831F5" w:rsidRPr="00BB781F" w:rsidRDefault="000831F5" w:rsidP="000831F5">
      <w:pPr>
        <w:pStyle w:val="ListParagraph"/>
        <w:rPr>
          <w:highlight w:val="yellow"/>
        </w:rPr>
      </w:pPr>
    </w:p>
    <w:p w:rsidR="000831F5" w:rsidRPr="00217D98" w:rsidRDefault="000831F5" w:rsidP="000831F5">
      <w:pPr>
        <w:pStyle w:val="Default"/>
        <w:numPr>
          <w:ilvl w:val="0"/>
          <w:numId w:val="10"/>
        </w:numPr>
        <w:tabs>
          <w:tab w:val="left" w:pos="360"/>
          <w:tab w:val="left" w:pos="720"/>
        </w:tabs>
        <w:ind w:left="360"/>
        <w:jc w:val="both"/>
      </w:pPr>
      <w:r w:rsidRPr="00217D98">
        <w:t>According to the EULEX Case Analysis Report, the abduction of Dušan Bogićević occurred within the the UNMIK timeframe for war crimes</w:t>
      </w:r>
      <w:r w:rsidR="00B1541D" w:rsidRPr="00217D98">
        <w:t xml:space="preserve"> (28 February 2008 – 21 June 1999). H</w:t>
      </w:r>
      <w:r w:rsidRPr="00217D98">
        <w:t>owever, there is no war crime record on Dušan Bogićević. The Report further states that hi</w:t>
      </w:r>
      <w:r w:rsidR="00217D98" w:rsidRPr="00217D98">
        <w:t xml:space="preserve">s name appears in a document about </w:t>
      </w:r>
      <w:r w:rsidRPr="00217D98">
        <w:t>another case under investigation, but</w:t>
      </w:r>
      <w:r w:rsidR="0036639E" w:rsidRPr="00217D98">
        <w:t xml:space="preserve"> that</w:t>
      </w:r>
      <w:r w:rsidRPr="00217D98">
        <w:t xml:space="preserve"> he is not named among the victims in that case. </w:t>
      </w:r>
    </w:p>
    <w:p w:rsidR="000831F5" w:rsidRPr="00217D98" w:rsidRDefault="000831F5" w:rsidP="000831F5">
      <w:pPr>
        <w:pStyle w:val="ListParagraph"/>
      </w:pPr>
    </w:p>
    <w:p w:rsidR="000831F5" w:rsidRPr="00217D98" w:rsidRDefault="000831F5" w:rsidP="000831F5">
      <w:pPr>
        <w:pStyle w:val="Default"/>
        <w:numPr>
          <w:ilvl w:val="0"/>
          <w:numId w:val="10"/>
        </w:numPr>
        <w:tabs>
          <w:tab w:val="left" w:pos="360"/>
          <w:tab w:val="left" w:pos="720"/>
        </w:tabs>
        <w:ind w:left="360"/>
        <w:jc w:val="both"/>
      </w:pPr>
      <w:r w:rsidRPr="00217D98">
        <w:t>The investigative file includes a copy of the statement given on</w:t>
      </w:r>
      <w:r w:rsidR="0036639E" w:rsidRPr="00217D98">
        <w:t xml:space="preserve"> an</w:t>
      </w:r>
      <w:r w:rsidRPr="00217D98">
        <w:t xml:space="preserve"> unspecified date by the complainant to the Humanitarian Law Centre. According to this</w:t>
      </w:r>
      <w:r w:rsidR="00F40F47" w:rsidRPr="00217D98">
        <w:t xml:space="preserve"> statement, on the day of his </w:t>
      </w:r>
      <w:r w:rsidR="00BE75F9" w:rsidRPr="00217D98">
        <w:t>abduction,</w:t>
      </w:r>
      <w:r w:rsidR="00F40F47" w:rsidRPr="00217D98">
        <w:t xml:space="preserve"> Dušan Bogićević was</w:t>
      </w:r>
      <w:r w:rsidR="00FD55B2" w:rsidRPr="00217D98">
        <w:t xml:space="preserve"> walking towards the centre of </w:t>
      </w:r>
      <w:r w:rsidR="00F40F47" w:rsidRPr="00217D98">
        <w:t xml:space="preserve"> </w:t>
      </w:r>
      <w:r w:rsidR="00FD55B2" w:rsidRPr="00217D98">
        <w:t xml:space="preserve">Pejë/Peć, </w:t>
      </w:r>
      <w:r w:rsidR="00F40F47" w:rsidRPr="00217D98">
        <w:t>with a frien</w:t>
      </w:r>
      <w:r w:rsidR="00FD55B2" w:rsidRPr="00217D98">
        <w:t>d</w:t>
      </w:r>
      <w:r w:rsidR="001C7777" w:rsidRPr="00217D98">
        <w:t>, Mr</w:t>
      </w:r>
      <w:r w:rsidR="00185DA3" w:rsidRPr="00217D98">
        <w:t xml:space="preserve"> </w:t>
      </w:r>
      <w:r w:rsidR="00F40F47" w:rsidRPr="00217D98">
        <w:t>D.P.</w:t>
      </w:r>
      <w:r w:rsidR="00FD55B2" w:rsidRPr="00217D98">
        <w:t xml:space="preserve"> </w:t>
      </w:r>
      <w:r w:rsidR="00F40F47" w:rsidRPr="00217D98">
        <w:t xml:space="preserve">They were </w:t>
      </w:r>
      <w:r w:rsidR="00FD55B2" w:rsidRPr="00217D98">
        <w:t xml:space="preserve">then stopped </w:t>
      </w:r>
      <w:r w:rsidR="001C7777" w:rsidRPr="00217D98">
        <w:t xml:space="preserve">by </w:t>
      </w:r>
      <w:r w:rsidRPr="00217D98">
        <w:t>a g</w:t>
      </w:r>
      <w:r w:rsidR="00217D98" w:rsidRPr="00217D98">
        <w:t>r</w:t>
      </w:r>
      <w:r w:rsidRPr="00217D98">
        <w:t>oup of unidentified Albanians</w:t>
      </w:r>
      <w:r w:rsidR="001C7777" w:rsidRPr="00217D98">
        <w:t xml:space="preserve">. </w:t>
      </w:r>
      <w:r w:rsidR="00F40F47" w:rsidRPr="00217D98">
        <w:t>Mr</w:t>
      </w:r>
      <w:r w:rsidR="00217D98" w:rsidRPr="00217D98">
        <w:t xml:space="preserve"> D.P. managed to escape, while</w:t>
      </w:r>
      <w:r w:rsidR="00F40F47" w:rsidRPr="00217D98">
        <w:t xml:space="preserve"> the complainant’s brother was abducted.</w:t>
      </w:r>
      <w:r w:rsidR="001C7777" w:rsidRPr="00217D98">
        <w:t xml:space="preserve"> Accordin</w:t>
      </w:r>
      <w:r w:rsidR="0036639E" w:rsidRPr="00217D98">
        <w:t>g to this account, Mr D.P., in a state</w:t>
      </w:r>
      <w:r w:rsidR="001C7777" w:rsidRPr="00217D98">
        <w:t xml:space="preserve"> of shock after the incident was not able to give the Bogićević family </w:t>
      </w:r>
      <w:r w:rsidR="00FD55B2" w:rsidRPr="00217D98">
        <w:t xml:space="preserve">any </w:t>
      </w:r>
      <w:r w:rsidR="001C7777" w:rsidRPr="00217D98">
        <w:t xml:space="preserve">details about the abduction. He fled Kosovo </w:t>
      </w:r>
      <w:r w:rsidR="00FD55B2" w:rsidRPr="00217D98">
        <w:t>imme</w:t>
      </w:r>
      <w:r w:rsidR="001C7777" w:rsidRPr="00217D98">
        <w:t>d</w:t>
      </w:r>
      <w:r w:rsidR="00FD55B2" w:rsidRPr="00217D98">
        <w:t>i</w:t>
      </w:r>
      <w:r w:rsidR="001C7777" w:rsidRPr="00217D98">
        <w:t xml:space="preserve">ately afterwards. </w:t>
      </w:r>
    </w:p>
    <w:p w:rsidR="000831F5" w:rsidRPr="00217D98" w:rsidRDefault="000831F5" w:rsidP="000831F5">
      <w:pPr>
        <w:pStyle w:val="ListParagraph"/>
      </w:pPr>
    </w:p>
    <w:p w:rsidR="008A2246" w:rsidRPr="00217D98" w:rsidRDefault="000831F5" w:rsidP="000831F5">
      <w:pPr>
        <w:pStyle w:val="Default"/>
        <w:numPr>
          <w:ilvl w:val="0"/>
          <w:numId w:val="10"/>
        </w:numPr>
        <w:tabs>
          <w:tab w:val="left" w:pos="360"/>
          <w:tab w:val="left" w:pos="720"/>
        </w:tabs>
        <w:ind w:left="360"/>
        <w:jc w:val="both"/>
      </w:pPr>
      <w:r w:rsidRPr="00217D98">
        <w:t xml:space="preserve">The investigative file also includes a copy of an undated “List of kidnapped Serbs </w:t>
      </w:r>
      <w:r w:rsidR="00217D98" w:rsidRPr="00217D98">
        <w:t>in Kosovo and Met</w:t>
      </w:r>
      <w:r w:rsidRPr="00217D98">
        <w:t xml:space="preserve">ohija” prepared </w:t>
      </w:r>
      <w:r w:rsidR="0036639E" w:rsidRPr="00217D98">
        <w:t xml:space="preserve">by </w:t>
      </w:r>
      <w:r w:rsidRPr="00217D98">
        <w:t>the UNMIK Police Central Criminal Investigation Unit, War Crimes Divis</w:t>
      </w:r>
      <w:r w:rsidR="0036639E" w:rsidRPr="00217D98">
        <w:t>ion, which lists</w:t>
      </w:r>
      <w:r w:rsidR="00217D98" w:rsidRPr="00217D98">
        <w:t xml:space="preserve"> Dušan Bogićević among those abducted</w:t>
      </w:r>
      <w:r w:rsidRPr="00217D98">
        <w:t>. The same docume</w:t>
      </w:r>
      <w:r w:rsidR="0036639E" w:rsidRPr="00217D98">
        <w:t>nt makes reference to a potential</w:t>
      </w:r>
      <w:r w:rsidRPr="00217D98">
        <w:t xml:space="preserve"> Albanian </w:t>
      </w:r>
      <w:r w:rsidR="0036639E" w:rsidRPr="00217D98">
        <w:t>eye-</w:t>
      </w:r>
      <w:r w:rsidRPr="00217D98">
        <w:t>witness to the abduction, Mr. T.K., residing in Pejë/Peć. The EUL</w:t>
      </w:r>
      <w:r w:rsidR="0036639E" w:rsidRPr="00217D98">
        <w:t>EX Case Analysis Report states</w:t>
      </w:r>
      <w:r w:rsidRPr="00217D98">
        <w:t xml:space="preserve"> that four individuals named T.K. can be found in the voters list of Pejë/Peć and that four additional individuals with the same name can be f</w:t>
      </w:r>
      <w:r w:rsidR="00217D98" w:rsidRPr="00217D98">
        <w:t>ound in the Kosovo vehicle registry</w:t>
      </w:r>
      <w:r w:rsidRPr="00217D98">
        <w:t xml:space="preserve">. However, it is not clear whether this research was undertaken by UNMIK or by EULEX WCIU </w:t>
      </w:r>
      <w:r w:rsidR="0036639E" w:rsidRPr="00217D98">
        <w:t>at the moment of</w:t>
      </w:r>
      <w:r w:rsidRPr="00217D98">
        <w:t xml:space="preserve"> reviewing the case</w:t>
      </w:r>
      <w:r w:rsidR="00217D98" w:rsidRPr="00217D98">
        <w:t xml:space="preserve"> </w:t>
      </w:r>
      <w:r w:rsidRPr="00217D98">
        <w:t xml:space="preserve">file. </w:t>
      </w:r>
    </w:p>
    <w:p w:rsidR="000831F5" w:rsidRPr="00BB781F" w:rsidRDefault="000831F5" w:rsidP="000831F5">
      <w:pPr>
        <w:rPr>
          <w:highlight w:val="yellow"/>
        </w:rPr>
      </w:pPr>
    </w:p>
    <w:p w:rsidR="000831F5" w:rsidRPr="00217D98" w:rsidRDefault="000831F5" w:rsidP="000831F5">
      <w:pPr>
        <w:pStyle w:val="Default"/>
        <w:numPr>
          <w:ilvl w:val="0"/>
          <w:numId w:val="10"/>
        </w:numPr>
        <w:tabs>
          <w:tab w:val="left" w:pos="360"/>
          <w:tab w:val="left" w:pos="720"/>
        </w:tabs>
        <w:ind w:left="360"/>
        <w:jc w:val="both"/>
      </w:pPr>
      <w:r w:rsidRPr="00217D98">
        <w:t>The na</w:t>
      </w:r>
      <w:r w:rsidR="0036639E" w:rsidRPr="00217D98">
        <w:t>me of Dušan Bogićević appears</w:t>
      </w:r>
      <w:r w:rsidRPr="00217D98">
        <w:t xml:space="preserve"> in two lists of missing persons communicated by the ICRC to UNMIK Police on 12 October 2001 and 11 February 2002 respectively. At some time in 2001, the MPU of UNMIK Police opened</w:t>
      </w:r>
      <w:r w:rsidR="0036639E" w:rsidRPr="00217D98">
        <w:t xml:space="preserve"> a</w:t>
      </w:r>
      <w:r w:rsidRPr="00217D98">
        <w:t xml:space="preserve"> file concerning the abduction of Dušan Bogićević. It</w:t>
      </w:r>
      <w:r w:rsidR="00B1541D" w:rsidRPr="00217D98">
        <w:t xml:space="preserve"> appears that the MPU</w:t>
      </w:r>
      <w:r w:rsidR="00BB781F" w:rsidRPr="00217D98">
        <w:t xml:space="preserve"> gathered ante-mortem data concerning Dušan Bogićević</w:t>
      </w:r>
      <w:r w:rsidR="0036639E" w:rsidRPr="00217D98">
        <w:t xml:space="preserve"> and DNA samples from his family members, but it is not clear at which stage this was done</w:t>
      </w:r>
      <w:r w:rsidR="00BB781F" w:rsidRPr="00217D98">
        <w:t xml:space="preserve">. </w:t>
      </w:r>
    </w:p>
    <w:p w:rsidR="008A2246" w:rsidRDefault="008A2246" w:rsidP="008A2246">
      <w:pPr>
        <w:pStyle w:val="ListParagraph"/>
      </w:pPr>
    </w:p>
    <w:p w:rsidR="00851C17" w:rsidRPr="00217D98" w:rsidRDefault="00D71FE3" w:rsidP="0036639E">
      <w:pPr>
        <w:pStyle w:val="Default"/>
        <w:numPr>
          <w:ilvl w:val="0"/>
          <w:numId w:val="10"/>
        </w:numPr>
        <w:tabs>
          <w:tab w:val="left" w:pos="360"/>
          <w:tab w:val="left" w:pos="720"/>
        </w:tabs>
        <w:ind w:left="360"/>
        <w:jc w:val="both"/>
      </w:pPr>
      <w:r>
        <w:t xml:space="preserve"> </w:t>
      </w:r>
      <w:r w:rsidR="00185DA3" w:rsidRPr="00217D98">
        <w:t xml:space="preserve">On 22 June 2006, the mortal remains of </w:t>
      </w:r>
      <w:r w:rsidR="000A5BD8" w:rsidRPr="00217D98">
        <w:t>Dušan Bogićević</w:t>
      </w:r>
      <w:r w:rsidR="0036639E" w:rsidRPr="00217D98">
        <w:t>, not yet identified,</w:t>
      </w:r>
      <w:r w:rsidR="000A5BD8" w:rsidRPr="00217D98">
        <w:t xml:space="preserve"> </w:t>
      </w:r>
      <w:r w:rsidR="00EA2E3F" w:rsidRPr="00217D98">
        <w:t>were discovered in</w:t>
      </w:r>
      <w:r w:rsidR="00185DA3" w:rsidRPr="00217D98">
        <w:t xml:space="preserve"> an “unknown grave site”</w:t>
      </w:r>
      <w:r w:rsidR="000A5BD8" w:rsidRPr="00217D98">
        <w:t xml:space="preserve"> in Prishtinë/Priština. </w:t>
      </w:r>
      <w:r w:rsidR="00EA2E3F" w:rsidRPr="00217D98">
        <w:t xml:space="preserve">On 27 October 2006, </w:t>
      </w:r>
      <w:r w:rsidR="0036639E" w:rsidRPr="00217D98">
        <w:t xml:space="preserve">the </w:t>
      </w:r>
      <w:r w:rsidR="00EA2E3F" w:rsidRPr="00217D98">
        <w:t>UNMIK OMPF conducted an autopsy on the</w:t>
      </w:r>
      <w:r w:rsidR="0036639E" w:rsidRPr="00217D98">
        <w:t>se</w:t>
      </w:r>
      <w:r w:rsidR="00EA2E3F" w:rsidRPr="00217D98">
        <w:t xml:space="preserve"> mortal remains. According to the autopsy report, a large are</w:t>
      </w:r>
      <w:r w:rsidR="0036639E" w:rsidRPr="00217D98">
        <w:t xml:space="preserve">a of </w:t>
      </w:r>
      <w:r w:rsidR="00851C17" w:rsidRPr="00217D98">
        <w:t xml:space="preserve">the skull bone had gone missing and for this reason </w:t>
      </w:r>
      <w:r w:rsidR="00FD55B2" w:rsidRPr="00217D98">
        <w:t>neither the cause of</w:t>
      </w:r>
      <w:r w:rsidR="0036639E" w:rsidRPr="00217D98">
        <w:t xml:space="preserve"> </w:t>
      </w:r>
      <w:r w:rsidR="00217D98" w:rsidRPr="00217D98">
        <w:t xml:space="preserve">the </w:t>
      </w:r>
      <w:r w:rsidR="0036639E" w:rsidRPr="00217D98">
        <w:t>fra</w:t>
      </w:r>
      <w:r w:rsidR="00851C17" w:rsidRPr="00217D98">
        <w:t>cture</w:t>
      </w:r>
      <w:r w:rsidR="00217D98" w:rsidRPr="00217D98">
        <w:t xml:space="preserve"> of the skull</w:t>
      </w:r>
      <w:r w:rsidR="00851C17" w:rsidRPr="00217D98">
        <w:t xml:space="preserve"> </w:t>
      </w:r>
      <w:r w:rsidR="00FD55B2" w:rsidRPr="00217D98">
        <w:t>nor the cause of death could</w:t>
      </w:r>
      <w:r w:rsidR="00851C17" w:rsidRPr="00217D98">
        <w:t xml:space="preserve"> be ascertained. </w:t>
      </w:r>
    </w:p>
    <w:p w:rsidR="0060241D" w:rsidRPr="00217D98" w:rsidRDefault="0060241D" w:rsidP="007A365E">
      <w:pPr>
        <w:rPr>
          <w:lang w:val="nl-NL"/>
        </w:rPr>
      </w:pPr>
    </w:p>
    <w:p w:rsidR="007A365E" w:rsidRPr="00217D98" w:rsidRDefault="00927D0B" w:rsidP="007A365E">
      <w:pPr>
        <w:pStyle w:val="Default"/>
        <w:numPr>
          <w:ilvl w:val="0"/>
          <w:numId w:val="10"/>
        </w:numPr>
        <w:tabs>
          <w:tab w:val="left" w:pos="360"/>
          <w:tab w:val="left" w:pos="720"/>
        </w:tabs>
        <w:ind w:left="360"/>
        <w:jc w:val="both"/>
      </w:pPr>
      <w:r w:rsidRPr="00217D98">
        <w:t>On</w:t>
      </w:r>
      <w:r w:rsidR="00C3740B" w:rsidRPr="00217D98">
        <w:t xml:space="preserve"> </w:t>
      </w:r>
      <w:r w:rsidR="00567DC1" w:rsidRPr="00217D98">
        <w:t>5 February 2007</w:t>
      </w:r>
      <w:r w:rsidR="00C3740B" w:rsidRPr="00217D98">
        <w:t xml:space="preserve">, the ICMP </w:t>
      </w:r>
      <w:r w:rsidR="004A538E" w:rsidRPr="00217D98">
        <w:t>established a</w:t>
      </w:r>
      <w:r w:rsidRPr="00217D98">
        <w:t xml:space="preserve"> </w:t>
      </w:r>
      <w:r w:rsidR="00C3740B" w:rsidRPr="00217D98">
        <w:t xml:space="preserve">DNA </w:t>
      </w:r>
      <w:r w:rsidRPr="00217D98">
        <w:t xml:space="preserve">match between samples </w:t>
      </w:r>
      <w:r w:rsidR="00C3740B" w:rsidRPr="00217D98">
        <w:t xml:space="preserve">from </w:t>
      </w:r>
      <w:r w:rsidR="00567DC1" w:rsidRPr="00217D98">
        <w:t>the mortal remains found on 22 June 2006</w:t>
      </w:r>
      <w:r w:rsidR="005F2457" w:rsidRPr="00217D98">
        <w:t xml:space="preserve"> </w:t>
      </w:r>
      <w:r w:rsidRPr="00217D98">
        <w:t>and</w:t>
      </w:r>
      <w:r w:rsidR="004A538E" w:rsidRPr="00217D98">
        <w:t xml:space="preserve"> </w:t>
      </w:r>
      <w:r w:rsidR="00C3740B" w:rsidRPr="00217D98">
        <w:t xml:space="preserve">samples </w:t>
      </w:r>
      <w:r w:rsidR="00F90097" w:rsidRPr="00217D98">
        <w:t xml:space="preserve">previously </w:t>
      </w:r>
      <w:r w:rsidRPr="00217D98">
        <w:t xml:space="preserve">collected </w:t>
      </w:r>
      <w:r w:rsidR="00C3740B" w:rsidRPr="00217D98">
        <w:t xml:space="preserve">from </w:t>
      </w:r>
      <w:r w:rsidR="00567DC1" w:rsidRPr="00217D98">
        <w:t xml:space="preserve">Dušan Bogićević’s </w:t>
      </w:r>
      <w:r w:rsidR="00C3740B" w:rsidRPr="00217D98">
        <w:t>family members</w:t>
      </w:r>
      <w:r w:rsidR="00DD65EE" w:rsidRPr="00217D98">
        <w:t>.</w:t>
      </w:r>
    </w:p>
    <w:p w:rsidR="007A365E" w:rsidRPr="00BB781F" w:rsidRDefault="007A365E" w:rsidP="007A365E">
      <w:pPr>
        <w:pStyle w:val="ListParagraph"/>
        <w:rPr>
          <w:highlight w:val="yellow"/>
        </w:rPr>
      </w:pPr>
    </w:p>
    <w:p w:rsidR="007A365E" w:rsidRPr="00217D98" w:rsidRDefault="007A365E" w:rsidP="007A365E">
      <w:pPr>
        <w:pStyle w:val="Default"/>
        <w:numPr>
          <w:ilvl w:val="0"/>
          <w:numId w:val="10"/>
        </w:numPr>
        <w:tabs>
          <w:tab w:val="left" w:pos="360"/>
          <w:tab w:val="left" w:pos="720"/>
        </w:tabs>
        <w:ind w:left="360"/>
        <w:jc w:val="both"/>
      </w:pPr>
      <w:r w:rsidRPr="00217D98">
        <w:t xml:space="preserve">It appears that on 1 March 2007, the OMPF </w:t>
      </w:r>
      <w:r w:rsidR="00BB781F" w:rsidRPr="00217D98">
        <w:t>recorded</w:t>
      </w:r>
      <w:r w:rsidR="00217D98" w:rsidRPr="00217D98">
        <w:t xml:space="preserve"> ante-mortem</w:t>
      </w:r>
      <w:r w:rsidRPr="00217D98">
        <w:t xml:space="preserve"> data</w:t>
      </w:r>
      <w:r w:rsidR="00F90097" w:rsidRPr="00217D98">
        <w:t xml:space="preserve"> from</w:t>
      </w:r>
      <w:r w:rsidRPr="00217D98">
        <w:t xml:space="preserve"> Dušan Bogićević’s family members. A victim identification</w:t>
      </w:r>
      <w:r w:rsidR="00217D98" w:rsidRPr="00217D98">
        <w:t xml:space="preserve"> form dated 1 March 2007</w:t>
      </w:r>
      <w:r w:rsidRPr="00217D98">
        <w:t xml:space="preserve"> sta</w:t>
      </w:r>
      <w:r w:rsidR="00217D98" w:rsidRPr="00217D98">
        <w:t>tes that Dušan Bogićević’s wife</w:t>
      </w:r>
      <w:r w:rsidRPr="00217D98">
        <w:t xml:space="preserve"> had recognised the clothing </w:t>
      </w:r>
      <w:r w:rsidR="00BB781F" w:rsidRPr="00217D98">
        <w:t>items</w:t>
      </w:r>
      <w:r w:rsidRPr="00217D98">
        <w:t xml:space="preserve"> found in a grave site in </w:t>
      </w:r>
      <w:r w:rsidR="00BB781F" w:rsidRPr="00217D98">
        <w:t>Prishtinë/Priš</w:t>
      </w:r>
      <w:r w:rsidR="00217D98" w:rsidRPr="00217D98">
        <w:t>tina by the photographs that were shown to her</w:t>
      </w:r>
      <w:r w:rsidRPr="00217D98">
        <w:t xml:space="preserve"> from the “book of missing persons’ clothing items”. </w:t>
      </w:r>
    </w:p>
    <w:p w:rsidR="00C3740B" w:rsidRPr="00217D98" w:rsidRDefault="00C3740B" w:rsidP="00C3740B">
      <w:pPr>
        <w:ind w:left="360"/>
        <w:jc w:val="both"/>
      </w:pPr>
    </w:p>
    <w:p w:rsidR="00C3740B" w:rsidRPr="00217D98" w:rsidRDefault="00567DC1" w:rsidP="00183BF4">
      <w:pPr>
        <w:pStyle w:val="Default"/>
        <w:numPr>
          <w:ilvl w:val="0"/>
          <w:numId w:val="10"/>
        </w:numPr>
        <w:tabs>
          <w:tab w:val="left" w:pos="360"/>
          <w:tab w:val="left" w:pos="720"/>
        </w:tabs>
        <w:ind w:left="360"/>
        <w:jc w:val="both"/>
      </w:pPr>
      <w:r w:rsidRPr="00217D98">
        <w:t xml:space="preserve">On 13 March </w:t>
      </w:r>
      <w:r w:rsidR="00C3740B" w:rsidRPr="00217D98">
        <w:t>2007, based on the results of the DNA analysis and on the comparison of ante-mortem and post-mortem information, the UNMIK OMPF issued</w:t>
      </w:r>
      <w:r w:rsidRPr="00217D98">
        <w:t xml:space="preserve"> a </w:t>
      </w:r>
      <w:r w:rsidR="00C3740B" w:rsidRPr="00217D98">
        <w:t>confir</w:t>
      </w:r>
      <w:r w:rsidRPr="00217D98">
        <w:t xml:space="preserve">mation of identity certificate </w:t>
      </w:r>
      <w:r w:rsidR="00C3740B" w:rsidRPr="00217D98">
        <w:t xml:space="preserve">concerning </w:t>
      </w:r>
      <w:r w:rsidRPr="00217D98">
        <w:t xml:space="preserve">Dušan Bogićević. </w:t>
      </w:r>
    </w:p>
    <w:p w:rsidR="002D4DFC" w:rsidRPr="00217D98" w:rsidRDefault="002D4DFC" w:rsidP="002D4DFC">
      <w:pPr>
        <w:jc w:val="both"/>
      </w:pPr>
    </w:p>
    <w:p w:rsidR="006F1C50" w:rsidRPr="00217D98" w:rsidRDefault="006107A0" w:rsidP="00183BF4">
      <w:pPr>
        <w:pStyle w:val="Default"/>
        <w:numPr>
          <w:ilvl w:val="0"/>
          <w:numId w:val="10"/>
        </w:numPr>
        <w:tabs>
          <w:tab w:val="left" w:pos="360"/>
          <w:tab w:val="left" w:pos="720"/>
        </w:tabs>
        <w:ind w:left="360"/>
        <w:jc w:val="both"/>
      </w:pPr>
      <w:r w:rsidRPr="00217D98">
        <w:t>O</w:t>
      </w:r>
      <w:r w:rsidR="002B79AA" w:rsidRPr="00217D98">
        <w:t xml:space="preserve">n 23 </w:t>
      </w:r>
      <w:r w:rsidR="0057139F" w:rsidRPr="00217D98">
        <w:t>March</w:t>
      </w:r>
      <w:r w:rsidR="002B79AA" w:rsidRPr="00217D98">
        <w:t xml:space="preserve"> 2007</w:t>
      </w:r>
      <w:r w:rsidRPr="00217D98">
        <w:t xml:space="preserve">, </w:t>
      </w:r>
      <w:r w:rsidR="00F90097" w:rsidRPr="00217D98">
        <w:t>the</w:t>
      </w:r>
      <w:r w:rsidR="00927D0B" w:rsidRPr="00217D98">
        <w:t xml:space="preserve"> </w:t>
      </w:r>
      <w:r w:rsidR="00F90097" w:rsidRPr="00217D98">
        <w:t>UNMIK OMPF</w:t>
      </w:r>
      <w:r w:rsidR="00112601" w:rsidRPr="00217D98">
        <w:t xml:space="preserve"> handed over </w:t>
      </w:r>
      <w:r w:rsidR="0057139F" w:rsidRPr="00217D98">
        <w:t xml:space="preserve">Dušan Bogićević’s </w:t>
      </w:r>
      <w:r w:rsidR="00112601" w:rsidRPr="00217D98">
        <w:t>mortal remains</w:t>
      </w:r>
      <w:r w:rsidR="00927D0B" w:rsidRPr="00217D98">
        <w:t xml:space="preserve">, together with death and identification </w:t>
      </w:r>
      <w:r w:rsidR="00217D98">
        <w:t>documents</w:t>
      </w:r>
      <w:r w:rsidR="00927D0B" w:rsidRPr="00217D98">
        <w:t xml:space="preserve">, </w:t>
      </w:r>
      <w:r w:rsidR="0057139F" w:rsidRPr="00217D98">
        <w:t>to his son</w:t>
      </w:r>
      <w:r w:rsidR="00F90097" w:rsidRPr="00217D98">
        <w:t xml:space="preserve"> at </w:t>
      </w:r>
      <w:r w:rsidR="00513A63">
        <w:t>the Merdare administrative boundary crossing point between Serbia proper and Kosovo</w:t>
      </w:r>
      <w:r w:rsidR="000B6F3F" w:rsidRPr="00217D98">
        <w:t xml:space="preserve">. </w:t>
      </w:r>
      <w:r w:rsidR="006F1C50" w:rsidRPr="00217D98">
        <w:t>Upon handing</w:t>
      </w:r>
      <w:r w:rsidR="003A7301" w:rsidRPr="00217D98">
        <w:t xml:space="preserve"> over</w:t>
      </w:r>
      <w:r w:rsidR="00F90097" w:rsidRPr="00217D98">
        <w:t xml:space="preserve"> his mortal remains,</w:t>
      </w:r>
      <w:r w:rsidR="006F1C50" w:rsidRPr="00217D98">
        <w:t xml:space="preserve"> the miss</w:t>
      </w:r>
      <w:r w:rsidR="00112601" w:rsidRPr="00217D98">
        <w:t xml:space="preserve">ing person case </w:t>
      </w:r>
      <w:r w:rsidR="0044580E" w:rsidRPr="00217D98">
        <w:t>on Dušan Bogićević</w:t>
      </w:r>
      <w:r w:rsidR="00F90097" w:rsidRPr="00217D98">
        <w:t xml:space="preserve"> was closed</w:t>
      </w:r>
      <w:r w:rsidR="0044580E" w:rsidRPr="00217D98">
        <w:t>.</w:t>
      </w:r>
    </w:p>
    <w:p w:rsidR="00541087" w:rsidRPr="00217D98" w:rsidRDefault="00541087" w:rsidP="00541087">
      <w:pPr>
        <w:pStyle w:val="ListParagraph"/>
      </w:pPr>
    </w:p>
    <w:p w:rsidR="00C57740" w:rsidRPr="00217D98" w:rsidRDefault="00C57740" w:rsidP="00183BF4">
      <w:pPr>
        <w:pStyle w:val="Default"/>
        <w:numPr>
          <w:ilvl w:val="0"/>
          <w:numId w:val="10"/>
        </w:numPr>
        <w:tabs>
          <w:tab w:val="left" w:pos="360"/>
          <w:tab w:val="left" w:pos="720"/>
        </w:tabs>
        <w:ind w:left="360"/>
        <w:jc w:val="both"/>
      </w:pPr>
      <w:r w:rsidRPr="00217D98">
        <w:t>On 9 December 2008, UNMIK’s responsibility with regard to police and justice in Kosovo end</w:t>
      </w:r>
      <w:r w:rsidR="00C3740B" w:rsidRPr="00217D98">
        <w:t>ed</w:t>
      </w:r>
      <w:r w:rsidR="00DD65EE" w:rsidRPr="00217D98">
        <w:t xml:space="preserve"> (see §§ </w:t>
      </w:r>
      <w:r w:rsidR="008E6A5C" w:rsidRPr="00217D98">
        <w:t xml:space="preserve">19-20 </w:t>
      </w:r>
      <w:r w:rsidR="00112601" w:rsidRPr="00217D98">
        <w:t>above).</w:t>
      </w:r>
    </w:p>
    <w:p w:rsidR="00473FCA" w:rsidRDefault="00473FCA" w:rsidP="00473FCA">
      <w:pPr>
        <w:tabs>
          <w:tab w:val="left" w:pos="357"/>
        </w:tabs>
        <w:jc w:val="both"/>
        <w:rPr>
          <w:b/>
          <w:bCs/>
        </w:rPr>
      </w:pPr>
    </w:p>
    <w:p w:rsidR="005F2457" w:rsidRDefault="005F2457" w:rsidP="00473FCA">
      <w:pPr>
        <w:tabs>
          <w:tab w:val="left" w:pos="357"/>
        </w:tabs>
        <w:jc w:val="both"/>
        <w:rPr>
          <w:b/>
          <w:bCs/>
        </w:rPr>
      </w:pPr>
    </w:p>
    <w:p w:rsidR="003671C8" w:rsidRPr="003671C8" w:rsidRDefault="003671C8" w:rsidP="003671C8">
      <w:pPr>
        <w:tabs>
          <w:tab w:val="left" w:pos="357"/>
        </w:tabs>
        <w:autoSpaceDE w:val="0"/>
        <w:jc w:val="both"/>
        <w:rPr>
          <w:b/>
          <w:bCs/>
        </w:rPr>
      </w:pPr>
      <w:r w:rsidRPr="003671C8">
        <w:rPr>
          <w:b/>
          <w:bCs/>
        </w:rPr>
        <w:t>III. THE COMPLAINT</w:t>
      </w:r>
    </w:p>
    <w:p w:rsidR="00241905" w:rsidRDefault="00241905" w:rsidP="000E6F85">
      <w:pPr>
        <w:jc w:val="both"/>
      </w:pPr>
    </w:p>
    <w:p w:rsidR="0052526A" w:rsidRPr="00513A63" w:rsidRDefault="0044580E" w:rsidP="00A41BBA">
      <w:pPr>
        <w:pStyle w:val="Default"/>
        <w:numPr>
          <w:ilvl w:val="0"/>
          <w:numId w:val="10"/>
        </w:numPr>
        <w:tabs>
          <w:tab w:val="left" w:pos="360"/>
          <w:tab w:val="left" w:pos="720"/>
        </w:tabs>
        <w:ind w:left="360"/>
        <w:jc w:val="both"/>
      </w:pPr>
      <w:r w:rsidRPr="00513A63">
        <w:t>Insofar a</w:t>
      </w:r>
      <w:r w:rsidR="00A41BBA" w:rsidRPr="00513A63">
        <w:t>s her complaint has been declared admissibl</w:t>
      </w:r>
      <w:r w:rsidRPr="00513A63">
        <w:t>e, the complain</w:t>
      </w:r>
      <w:r w:rsidR="00A41BBA" w:rsidRPr="00513A63">
        <w:t>ant complains</w:t>
      </w:r>
      <w:r w:rsidR="000E6F85" w:rsidRPr="00513A63">
        <w:t xml:space="preserve"> about the alleged failure by UNMIK to conduct an effective investigation into the </w:t>
      </w:r>
      <w:r w:rsidR="00E479DE" w:rsidRPr="00513A63">
        <w:t>abduction</w:t>
      </w:r>
      <w:r w:rsidR="00A72554" w:rsidRPr="00513A63">
        <w:t xml:space="preserve"> and</w:t>
      </w:r>
      <w:r w:rsidRPr="00513A63">
        <w:t xml:space="preserve"> </w:t>
      </w:r>
      <w:r w:rsidR="00513A63" w:rsidRPr="00513A63">
        <w:t>death</w:t>
      </w:r>
      <w:r w:rsidR="00A72554" w:rsidRPr="00513A63">
        <w:t xml:space="preserve"> of her </w:t>
      </w:r>
      <w:r w:rsidRPr="00513A63">
        <w:t>brother.</w:t>
      </w:r>
      <w:r w:rsidR="001D3EE6" w:rsidRPr="00513A63">
        <w:t xml:space="preserve"> In this regard, she invokes</w:t>
      </w:r>
      <w:r w:rsidR="000E6F85" w:rsidRPr="00513A63">
        <w:t xml:space="preserve"> </w:t>
      </w:r>
      <w:r w:rsidR="006C7746" w:rsidRPr="00513A63">
        <w:t>a violation of the</w:t>
      </w:r>
      <w:r w:rsidR="0021192E" w:rsidRPr="00513A63">
        <w:t xml:space="preserve"> procedural limb of </w:t>
      </w:r>
      <w:r w:rsidR="00FE28E6" w:rsidRPr="00513A63">
        <w:t>Article 2 of the ECHR</w:t>
      </w:r>
      <w:r w:rsidR="000E6F85" w:rsidRPr="00513A63">
        <w:t xml:space="preserve">. </w:t>
      </w:r>
    </w:p>
    <w:p w:rsidR="00760DFC" w:rsidRDefault="00760DFC" w:rsidP="00CB7AB0"/>
    <w:p w:rsidR="00ED7FA5" w:rsidRDefault="00ED7FA5" w:rsidP="00CB7AB0"/>
    <w:p w:rsidR="00C237BA" w:rsidRDefault="0052526A" w:rsidP="0052526A">
      <w:pPr>
        <w:tabs>
          <w:tab w:val="left" w:pos="357"/>
        </w:tabs>
        <w:autoSpaceDE w:val="0"/>
        <w:jc w:val="both"/>
        <w:rPr>
          <w:b/>
          <w:bCs/>
        </w:rPr>
      </w:pPr>
      <w:r w:rsidRPr="002079C1">
        <w:rPr>
          <w:b/>
          <w:bCs/>
        </w:rPr>
        <w:t>IV. THE LAW</w:t>
      </w:r>
    </w:p>
    <w:p w:rsidR="00C237BA" w:rsidRDefault="00C237BA" w:rsidP="0052526A">
      <w:pPr>
        <w:tabs>
          <w:tab w:val="left" w:pos="357"/>
        </w:tabs>
        <w:autoSpaceDE w:val="0"/>
        <w:jc w:val="both"/>
        <w:rPr>
          <w:b/>
          <w:bCs/>
        </w:rPr>
      </w:pPr>
    </w:p>
    <w:p w:rsidR="000D01B4" w:rsidRPr="0055507B" w:rsidRDefault="000D01B4" w:rsidP="00183BF4">
      <w:pPr>
        <w:pStyle w:val="ListParagraph"/>
        <w:numPr>
          <w:ilvl w:val="0"/>
          <w:numId w:val="4"/>
        </w:numPr>
        <w:tabs>
          <w:tab w:val="left" w:pos="357"/>
        </w:tabs>
        <w:autoSpaceDE w:val="0"/>
        <w:jc w:val="both"/>
        <w:rPr>
          <w:b/>
          <w:bCs/>
        </w:rPr>
      </w:pPr>
      <w:r w:rsidRPr="0055507B">
        <w:rPr>
          <w:b/>
          <w:bCs/>
        </w:rPr>
        <w:t>The scope of the Panel’s review</w:t>
      </w:r>
    </w:p>
    <w:p w:rsidR="0052526A" w:rsidRDefault="0052526A" w:rsidP="0052526A"/>
    <w:p w:rsidR="00314A8F" w:rsidRPr="0055507B" w:rsidRDefault="00314A8F" w:rsidP="00183BF4">
      <w:pPr>
        <w:pStyle w:val="Default"/>
        <w:numPr>
          <w:ilvl w:val="0"/>
          <w:numId w:val="10"/>
        </w:numPr>
        <w:tabs>
          <w:tab w:val="left" w:pos="360"/>
          <w:tab w:val="left" w:pos="720"/>
        </w:tabs>
        <w:ind w:left="360"/>
        <w:jc w:val="both"/>
      </w:pPr>
      <w:r w:rsidRPr="0055507B">
        <w:t xml:space="preserve">In determining whether it considers that there has been a violation of Article 2 </w:t>
      </w:r>
      <w:r w:rsidR="0078457C">
        <w:t>(procedural limb</w:t>
      </w:r>
      <w:r w:rsidR="0078457C" w:rsidRPr="00513A63">
        <w:t xml:space="preserve">) </w:t>
      </w:r>
      <w:r w:rsidR="00513A63">
        <w:t>o</w:t>
      </w:r>
      <w:r w:rsidR="0078457C" w:rsidRPr="00513A63">
        <w:t>f</w:t>
      </w:r>
      <w:r w:rsidR="0078457C">
        <w:t xml:space="preserve"> the ECHR, the Panel </w:t>
      </w:r>
      <w:r w:rsidRPr="0055507B">
        <w:t xml:space="preserve">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w:t>
      </w:r>
      <w:r w:rsidRPr="006C48CD">
        <w:t xml:space="preserve">to UNMIK </w:t>
      </w:r>
      <w:r w:rsidR="006C5B3F" w:rsidRPr="006C48CD">
        <w:t>with respect to the</w:t>
      </w:r>
      <w:r w:rsidR="0078457C">
        <w:t xml:space="preserve"> substantive</w:t>
      </w:r>
      <w:r w:rsidR="006C5B3F" w:rsidRPr="006C48CD">
        <w:t xml:space="preserve"> </w:t>
      </w:r>
      <w:r w:rsidR="001348EA" w:rsidRPr="006C48CD">
        <w:t>obligation</w:t>
      </w:r>
      <w:r w:rsidR="0078457C">
        <w:t>s</w:t>
      </w:r>
      <w:r w:rsidR="001348EA" w:rsidRPr="006C48CD">
        <w:t xml:space="preserve"> under ECHR Article 2</w:t>
      </w:r>
      <w:r w:rsidR="006C5B3F" w:rsidRPr="006C48CD">
        <w:t>.</w:t>
      </w:r>
      <w:r w:rsidRPr="006C48CD">
        <w:t xml:space="preserve"> Second, as in a limited number of cases before the European Court, those suspected of being responsible for the alleged killings</w:t>
      </w:r>
      <w:r w:rsidRPr="0055507B">
        <w:t xml:space="preserve"> and/or abductions are in all cases before the Panel non-state actors, mostly but not exclusiv</w:t>
      </w:r>
      <w:r>
        <w:t xml:space="preserve">ely connected to the conflict. </w:t>
      </w:r>
      <w:r w:rsidRPr="0055507B">
        <w:t xml:space="preserve">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314A8F" w:rsidRPr="0055507B" w:rsidRDefault="00314A8F" w:rsidP="00314A8F">
      <w:pPr>
        <w:autoSpaceDE w:val="0"/>
        <w:ind w:left="360"/>
        <w:jc w:val="both"/>
        <w:rPr>
          <w:bCs/>
        </w:rPr>
      </w:pPr>
    </w:p>
    <w:p w:rsidR="004A538E" w:rsidRDefault="00314A8F" w:rsidP="00183BF4">
      <w:pPr>
        <w:pStyle w:val="Default"/>
        <w:numPr>
          <w:ilvl w:val="0"/>
          <w:numId w:val="10"/>
        </w:numPr>
        <w:tabs>
          <w:tab w:val="left" w:pos="360"/>
          <w:tab w:val="left" w:pos="720"/>
        </w:tabs>
        <w:ind w:left="360"/>
        <w:jc w:val="both"/>
        <w:rPr>
          <w:bCs/>
        </w:rPr>
      </w:pPr>
      <w:r w:rsidRPr="0055507B">
        <w:rPr>
          <w:bCs/>
        </w:rPr>
        <w:t xml:space="preserve">Before </w:t>
      </w:r>
      <w:r w:rsidRPr="00875F2F">
        <w:t>turning</w:t>
      </w:r>
      <w:r w:rsidRPr="0055507B">
        <w:rPr>
          <w:bCs/>
        </w:rPr>
        <w:t xml:space="preserve"> to the examination of the merits of the complaint, the Panel needs to clarify the scope of its review.</w:t>
      </w:r>
      <w:bookmarkStart w:id="0" w:name="_Ref317418022"/>
    </w:p>
    <w:p w:rsidR="004A538E" w:rsidRDefault="004A538E" w:rsidP="004A538E">
      <w:pPr>
        <w:pStyle w:val="ListParagraph"/>
        <w:rPr>
          <w:lang w:val="en-US" w:eastAsia="nl-BE"/>
        </w:rPr>
      </w:pPr>
    </w:p>
    <w:p w:rsidR="00314A8F" w:rsidRPr="004A538E" w:rsidRDefault="004A538E" w:rsidP="00183BF4">
      <w:pPr>
        <w:pStyle w:val="Default"/>
        <w:numPr>
          <w:ilvl w:val="0"/>
          <w:numId w:val="10"/>
        </w:numPr>
        <w:tabs>
          <w:tab w:val="left" w:pos="360"/>
          <w:tab w:val="left" w:pos="720"/>
        </w:tabs>
        <w:ind w:left="360"/>
        <w:jc w:val="both"/>
        <w:rPr>
          <w:bCs/>
        </w:rPr>
      </w:pPr>
      <w:r w:rsidRPr="004A538E">
        <w:rPr>
          <w:lang w:val="en-US" w:eastAsia="nl-BE"/>
        </w:rPr>
        <w:t>The Panel notes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the following human rights instruments: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w:t>
      </w:r>
    </w:p>
    <w:p w:rsidR="00314A8F" w:rsidRPr="0055507B" w:rsidRDefault="00314A8F" w:rsidP="00314A8F">
      <w:pPr>
        <w:tabs>
          <w:tab w:val="left" w:pos="357"/>
        </w:tabs>
        <w:autoSpaceDE w:val="0"/>
        <w:jc w:val="both"/>
        <w:rPr>
          <w:bCs/>
        </w:rPr>
      </w:pPr>
    </w:p>
    <w:p w:rsidR="00314A8F" w:rsidRPr="0055507B" w:rsidRDefault="00314A8F" w:rsidP="00183BF4">
      <w:pPr>
        <w:pStyle w:val="Default"/>
        <w:numPr>
          <w:ilvl w:val="0"/>
          <w:numId w:val="10"/>
        </w:numPr>
        <w:tabs>
          <w:tab w:val="left" w:pos="360"/>
          <w:tab w:val="left" w:pos="720"/>
        </w:tabs>
        <w:ind w:left="360"/>
        <w:jc w:val="both"/>
      </w:pPr>
      <w:bookmarkStart w:id="1" w:name="_Ref317493050"/>
      <w:r w:rsidRPr="0055507B">
        <w:rPr>
          <w:rFonts w:cs="CAGLHH+TimesNewRoman"/>
        </w:rPr>
        <w:t xml:space="preserve">The Panel also notes that Section 1.2 of </w:t>
      </w:r>
      <w:r w:rsidRPr="0055507B">
        <w:rPr>
          <w:bCs/>
        </w:rPr>
        <w:t xml:space="preserve">UNMIK Regulation No. 2006/12 of 23 March 2006 on the Establishment of the Human Rights Advisory Panel </w:t>
      </w:r>
      <w:r w:rsidRPr="0055507B">
        <w:rPr>
          <w:rFonts w:cs="CAGLHH+TimesNewRoman"/>
        </w:rPr>
        <w:t>provides that the Panel “shall examine complaints from any person or group of individuals claiming to be the victim of a violation by UNMIK of (their) human right</w:t>
      </w:r>
      <w:r w:rsidR="00DD65EE">
        <w:rPr>
          <w:rFonts w:cs="CAGLHH+TimesNewRoman"/>
        </w:rPr>
        <w:t>s”. It follows that only acts or</w:t>
      </w:r>
      <w:r w:rsidRPr="0055507B">
        <w:rPr>
          <w:rFonts w:cs="CAGLHH+TimesNewRoman"/>
        </w:rPr>
        <w:t xml:space="preserve"> omissions attributable to UNMIK fall within the jurisdiction </w:t>
      </w:r>
      <w:r w:rsidRPr="0055507B">
        <w:rPr>
          <w:rFonts w:cs="CAGLHH+TimesNewRoman"/>
          <w:i/>
        </w:rPr>
        <w:t>ratione personae</w:t>
      </w:r>
      <w:r w:rsidRPr="0055507B">
        <w:rPr>
          <w:rFonts w:cs="CAGLHH+TimesNewRoman"/>
        </w:rPr>
        <w:t xml:space="preserve"> of the Panel. In this respect, it should be noted, as stated above, that as of </w:t>
      </w:r>
      <w:r w:rsidRPr="0055507B">
        <w:t xml:space="preserve">9 December 2008, UNMIK </w:t>
      </w:r>
      <w:r w:rsidRPr="0055507B">
        <w:rPr>
          <w:bCs/>
          <w:lang w:val="en-US"/>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55507B">
        <w:rPr>
          <w:bCs/>
          <w:i/>
          <w:lang w:val="en-US"/>
        </w:rPr>
        <w:t>ratione personae</w:t>
      </w:r>
      <w:r w:rsidRPr="0055507B">
        <w:rPr>
          <w:bCs/>
          <w:lang w:val="en-US"/>
        </w:rPr>
        <w:t xml:space="preserve"> of the Panel.</w:t>
      </w:r>
      <w:bookmarkEnd w:id="1"/>
    </w:p>
    <w:p w:rsidR="00314A8F" w:rsidRPr="0055507B" w:rsidRDefault="00314A8F" w:rsidP="00314A8F">
      <w:pPr>
        <w:pStyle w:val="ListParagraph"/>
      </w:pPr>
    </w:p>
    <w:p w:rsidR="00314A8F" w:rsidRPr="0055507B" w:rsidRDefault="00314A8F" w:rsidP="00183BF4">
      <w:pPr>
        <w:pStyle w:val="Default"/>
        <w:numPr>
          <w:ilvl w:val="0"/>
          <w:numId w:val="10"/>
        </w:numPr>
        <w:tabs>
          <w:tab w:val="left" w:pos="360"/>
          <w:tab w:val="left" w:pos="720"/>
        </w:tabs>
        <w:ind w:left="360"/>
        <w:jc w:val="both"/>
        <w:rPr>
          <w:bCs/>
        </w:rPr>
      </w:pPr>
      <w:r w:rsidRPr="006C48CD">
        <w:rPr>
          <w:rFonts w:cs="CAGLHH+TimesNewRoman"/>
        </w:rPr>
        <w:t xml:space="preserve">Likewise, the Panel emphasises that, as far as its jurisdiction </w:t>
      </w:r>
      <w:r w:rsidRPr="006C48CD">
        <w:rPr>
          <w:rFonts w:cs="CAGLHH+TimesNewRoman"/>
          <w:i/>
        </w:rPr>
        <w:t>ratione materiae</w:t>
      </w:r>
      <w:r w:rsidRPr="006C48CD">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 </w:t>
      </w:r>
      <w:r w:rsidR="006C48CD" w:rsidRPr="006C48CD">
        <w:rPr>
          <w:rFonts w:cs="CAGLHH+TimesNewRoman"/>
        </w:rPr>
        <w:t>67</w:t>
      </w:r>
      <w:r w:rsidRPr="006C48CD">
        <w:rPr>
          <w:rFonts w:cs="CAGLHH+TimesNewRoman"/>
        </w:rPr>
        <w:t>).</w:t>
      </w:r>
      <w:r w:rsidRPr="0055507B">
        <w:t xml:space="preserve"> In the particular case of killings and disappearances in life-threatening circumstances, it is not the </w:t>
      </w:r>
      <w:r w:rsidRPr="00875F2F">
        <w:rPr>
          <w:rFonts w:cs="CAGLHH+TimesNewRoman"/>
        </w:rPr>
        <w:t>Panel’s</w:t>
      </w:r>
      <w:r w:rsidRPr="0055507B">
        <w:t xml:space="preserve">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14A8F" w:rsidRPr="0055507B" w:rsidRDefault="00314A8F" w:rsidP="00314A8F">
      <w:pPr>
        <w:pStyle w:val="ListParagraph"/>
        <w:rPr>
          <w:bCs/>
        </w:rPr>
      </w:pPr>
    </w:p>
    <w:p w:rsidR="0022032D" w:rsidRPr="009E3963" w:rsidRDefault="00314A8F" w:rsidP="00183BF4">
      <w:pPr>
        <w:pStyle w:val="Default"/>
        <w:numPr>
          <w:ilvl w:val="0"/>
          <w:numId w:val="10"/>
        </w:numPr>
        <w:tabs>
          <w:tab w:val="left" w:pos="360"/>
          <w:tab w:val="left" w:pos="720"/>
        </w:tabs>
        <w:ind w:left="360"/>
        <w:jc w:val="both"/>
        <w:rPr>
          <w:bCs/>
        </w:rPr>
      </w:pPr>
      <w:r w:rsidRPr="0055507B">
        <w:rPr>
          <w:bCs/>
        </w:rPr>
        <w:t>The Panel further notes that Section 2 of UNMIK Regulation No. 2006/12 provides that t</w:t>
      </w:r>
      <w:r w:rsidRPr="0055507B">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55507B">
        <w:rPr>
          <w:rFonts w:cs="CAGLHH+TimesNewRoman"/>
          <w:i/>
        </w:rPr>
        <w:t>ratione temporis</w:t>
      </w:r>
      <w:r w:rsidRPr="0055507B">
        <w:rPr>
          <w:rFonts w:cs="CAGLHH+TimesNewRoman"/>
        </w:rPr>
        <w:t xml:space="preserve"> of the Panel. However, to the extent that such events gave rise to a continuing situation, the Panel has jurisdiction to examine complaints relating to that situation</w:t>
      </w:r>
      <w:bookmarkEnd w:id="0"/>
      <w:r w:rsidRPr="0055507B">
        <w:rPr>
          <w:rFonts w:cs="CAGLHH+TimesNewRoman"/>
        </w:rPr>
        <w:t xml:space="preserve"> (see European Court of Human Rights (ECtHR)</w:t>
      </w:r>
      <w:r w:rsidR="004A538E">
        <w:rPr>
          <w:rFonts w:cs="CAGLHH+TimesNewRoman"/>
        </w:rPr>
        <w:t xml:space="preserve"> </w:t>
      </w:r>
      <w:r w:rsidRPr="0055507B">
        <w:rPr>
          <w:rFonts w:cs="CAGLHH+TimesNewRoman"/>
        </w:rPr>
        <w:t>Grand Chamber</w:t>
      </w:r>
      <w:r w:rsidR="007D47E3">
        <w:rPr>
          <w:rFonts w:cs="CAGLHH+TimesNewRoman"/>
        </w:rPr>
        <w:t xml:space="preserve"> [GC]</w:t>
      </w:r>
      <w:r w:rsidRPr="0055507B">
        <w:rPr>
          <w:rFonts w:cs="CAGLHH+TimesNewRoman"/>
        </w:rPr>
        <w:t xml:space="preserve">, </w:t>
      </w:r>
      <w:r w:rsidRPr="0055507B">
        <w:rPr>
          <w:rFonts w:cs="CAGLHH+TimesNewRoman"/>
          <w:i/>
        </w:rPr>
        <w:t>Varnava and Others v. Turkey</w:t>
      </w:r>
      <w:r w:rsidRPr="0055507B">
        <w:rPr>
          <w:rFonts w:cs="CAGLHH+TimesNewRoman"/>
        </w:rPr>
        <w:t>, nos. 16064/90 and others, judgment of 18 September 2009, §§ 147-149; ECtHR</w:t>
      </w:r>
      <w:r w:rsidR="00DD65EE">
        <w:rPr>
          <w:rFonts w:cs="CAGLHH+TimesNewRoman"/>
        </w:rPr>
        <w:t xml:space="preserve"> [GC]</w:t>
      </w:r>
      <w:r w:rsidRPr="0055507B">
        <w:rPr>
          <w:rFonts w:cs="CAGLHH+TimesNewRoman"/>
        </w:rPr>
        <w:t xml:space="preserve">, </w:t>
      </w:r>
      <w:r w:rsidRPr="0055507B">
        <w:rPr>
          <w:rFonts w:cs="CAGLHH+TimesNewRoman"/>
          <w:i/>
        </w:rPr>
        <w:t>Cyprus v. Turkey</w:t>
      </w:r>
      <w:r w:rsidRPr="0055507B">
        <w:rPr>
          <w:rFonts w:cs="CAGLHH+TimesNewRoman"/>
        </w:rPr>
        <w:t xml:space="preserve">, no. </w:t>
      </w:r>
      <w:r w:rsidRPr="0055507B">
        <w:rPr>
          <w:rStyle w:val="s85f22697"/>
        </w:rPr>
        <w:t>25781/94, judgment of 10 May 2011,</w:t>
      </w:r>
      <w:r w:rsidRPr="0055507B">
        <w:rPr>
          <w:rFonts w:cs="CAGLHH+TimesNewRoman"/>
        </w:rPr>
        <w:t xml:space="preserve"> § 136). </w:t>
      </w:r>
    </w:p>
    <w:p w:rsidR="00896D42" w:rsidRDefault="00896D42" w:rsidP="0022032D">
      <w:pPr>
        <w:autoSpaceDE w:val="0"/>
        <w:jc w:val="both"/>
        <w:rPr>
          <w:b/>
        </w:rPr>
      </w:pPr>
    </w:p>
    <w:p w:rsidR="002A14AD" w:rsidRDefault="002A14AD" w:rsidP="0022032D">
      <w:pPr>
        <w:autoSpaceDE w:val="0"/>
        <w:jc w:val="both"/>
        <w:rPr>
          <w:b/>
        </w:rPr>
      </w:pPr>
    </w:p>
    <w:p w:rsidR="002A14AD" w:rsidRDefault="002A14AD" w:rsidP="0022032D">
      <w:pPr>
        <w:autoSpaceDE w:val="0"/>
        <w:jc w:val="both"/>
        <w:rPr>
          <w:b/>
        </w:rPr>
      </w:pPr>
    </w:p>
    <w:p w:rsidR="00C85188" w:rsidRPr="00D20889" w:rsidRDefault="00D20889" w:rsidP="00D20889">
      <w:pPr>
        <w:pStyle w:val="ListParagraph"/>
        <w:numPr>
          <w:ilvl w:val="0"/>
          <w:numId w:val="4"/>
        </w:numPr>
        <w:autoSpaceDE w:val="0"/>
        <w:jc w:val="both"/>
        <w:rPr>
          <w:b/>
          <w:bCs/>
        </w:rPr>
      </w:pPr>
      <w:r>
        <w:rPr>
          <w:b/>
        </w:rPr>
        <w:t>Alleged v</w:t>
      </w:r>
      <w:r w:rsidR="00416839" w:rsidRPr="00D20889">
        <w:rPr>
          <w:b/>
        </w:rPr>
        <w:t xml:space="preserve">iolation of </w:t>
      </w:r>
      <w:r w:rsidR="0078457C">
        <w:rPr>
          <w:b/>
        </w:rPr>
        <w:t xml:space="preserve">the procedural obligation under </w:t>
      </w:r>
      <w:r w:rsidR="00416839" w:rsidRPr="00D20889">
        <w:rPr>
          <w:b/>
        </w:rPr>
        <w:t>Article</w:t>
      </w:r>
      <w:r w:rsidR="00A026A4" w:rsidRPr="00D20889">
        <w:rPr>
          <w:b/>
        </w:rPr>
        <w:t xml:space="preserve"> 2</w:t>
      </w:r>
      <w:r w:rsidR="00792426" w:rsidRPr="00D20889">
        <w:rPr>
          <w:b/>
        </w:rPr>
        <w:t xml:space="preserve"> </w:t>
      </w:r>
      <w:r w:rsidR="00D82183" w:rsidRPr="00D20889">
        <w:rPr>
          <w:b/>
        </w:rPr>
        <w:t>of the ECHR</w:t>
      </w:r>
    </w:p>
    <w:p w:rsidR="00A026A4" w:rsidRPr="00A026A4" w:rsidRDefault="00A026A4" w:rsidP="00A026A4">
      <w:pPr>
        <w:tabs>
          <w:tab w:val="left" w:pos="357"/>
        </w:tabs>
        <w:autoSpaceDE w:val="0"/>
        <w:jc w:val="both"/>
        <w:rPr>
          <w:b/>
          <w:bCs/>
        </w:rPr>
      </w:pPr>
    </w:p>
    <w:p w:rsidR="003671C8" w:rsidRPr="00513A63" w:rsidRDefault="00D50842" w:rsidP="003671C8">
      <w:pPr>
        <w:pStyle w:val="Default"/>
        <w:numPr>
          <w:ilvl w:val="0"/>
          <w:numId w:val="10"/>
        </w:numPr>
        <w:tabs>
          <w:tab w:val="left" w:pos="360"/>
          <w:tab w:val="left" w:pos="720"/>
        </w:tabs>
        <w:ind w:left="360"/>
        <w:jc w:val="both"/>
      </w:pPr>
      <w:r w:rsidRPr="00513A63">
        <w:rPr>
          <w:bCs/>
          <w:lang w:val="en-GB"/>
        </w:rPr>
        <w:t xml:space="preserve">The Panel considers that the complainant invokes a violation of the procedural obligation stemming from the right to life, guaranteed by Article 2 of the European Convention on Human Rights (ECHR) in that </w:t>
      </w:r>
      <w:r w:rsidRPr="00513A63">
        <w:rPr>
          <w:bCs/>
        </w:rPr>
        <w:t xml:space="preserve">UNMIK Police did not conduct an effective investigation into her brother’s abduction and </w:t>
      </w:r>
      <w:r w:rsidR="00513A63" w:rsidRPr="00513A63">
        <w:rPr>
          <w:bCs/>
        </w:rPr>
        <w:t>death</w:t>
      </w:r>
      <w:r w:rsidRPr="00513A63">
        <w:rPr>
          <w:bCs/>
        </w:rPr>
        <w:t xml:space="preserve">.  </w:t>
      </w:r>
    </w:p>
    <w:p w:rsidR="00D50842" w:rsidRDefault="00D50842" w:rsidP="00D50842">
      <w:pPr>
        <w:pStyle w:val="Default"/>
        <w:tabs>
          <w:tab w:val="left" w:pos="360"/>
          <w:tab w:val="left" w:pos="720"/>
        </w:tabs>
        <w:ind w:left="360"/>
        <w:jc w:val="both"/>
      </w:pPr>
    </w:p>
    <w:p w:rsidR="007D2C79" w:rsidRDefault="00D82183" w:rsidP="00183BF4">
      <w:pPr>
        <w:pStyle w:val="ListParagraph"/>
        <w:numPr>
          <w:ilvl w:val="0"/>
          <w:numId w:val="3"/>
        </w:numPr>
        <w:jc w:val="both"/>
        <w:rPr>
          <w:b/>
        </w:rPr>
      </w:pPr>
      <w:r>
        <w:rPr>
          <w:b/>
        </w:rPr>
        <w:t xml:space="preserve">The </w:t>
      </w:r>
      <w:r w:rsidR="00D50842">
        <w:rPr>
          <w:b/>
        </w:rPr>
        <w:t>parties’ submissions</w:t>
      </w:r>
      <w:r w:rsidR="00D05375" w:rsidRPr="00D05375">
        <w:rPr>
          <w:b/>
        </w:rPr>
        <w:t xml:space="preserve"> </w:t>
      </w:r>
    </w:p>
    <w:p w:rsidR="005601F2" w:rsidRDefault="005601F2" w:rsidP="00416839"/>
    <w:p w:rsidR="006D6252" w:rsidRPr="00513A63" w:rsidRDefault="003C1427" w:rsidP="00183BF4">
      <w:pPr>
        <w:pStyle w:val="Default"/>
        <w:numPr>
          <w:ilvl w:val="0"/>
          <w:numId w:val="10"/>
        </w:numPr>
        <w:tabs>
          <w:tab w:val="left" w:pos="360"/>
          <w:tab w:val="left" w:pos="720"/>
        </w:tabs>
        <w:ind w:left="360"/>
        <w:jc w:val="both"/>
        <w:rPr>
          <w:lang w:val="en-US" w:eastAsia="en-US"/>
        </w:rPr>
      </w:pPr>
      <w:r w:rsidRPr="00513A63">
        <w:t>The complainant complain</w:t>
      </w:r>
      <w:r w:rsidR="002D284B" w:rsidRPr="00513A63">
        <w:t xml:space="preserve">s that the investigation into </w:t>
      </w:r>
      <w:r w:rsidR="0025232F" w:rsidRPr="00513A63">
        <w:t xml:space="preserve">Dušan Bogićević’s </w:t>
      </w:r>
      <w:r w:rsidR="006D6252" w:rsidRPr="00513A63">
        <w:t>abduction and</w:t>
      </w:r>
      <w:r w:rsidR="0025232F" w:rsidRPr="00513A63">
        <w:t xml:space="preserve"> </w:t>
      </w:r>
      <w:r w:rsidR="00513A63" w:rsidRPr="00513A63">
        <w:t>death</w:t>
      </w:r>
      <w:r w:rsidR="006D6252" w:rsidRPr="00513A63">
        <w:t xml:space="preserve"> has not been adequate.</w:t>
      </w:r>
      <w:r w:rsidR="006962B2" w:rsidRPr="00513A63">
        <w:t xml:space="preserve"> She also states that she enquired with UNMIK Police concerning the status of the investigation, but she did not receive any feedback. </w:t>
      </w:r>
      <w:r w:rsidR="007C6359" w:rsidRPr="00513A63">
        <w:t xml:space="preserve">She asks to be financially compensated for UNMIK’s failures. </w:t>
      </w:r>
    </w:p>
    <w:p w:rsidR="003C1427" w:rsidRPr="003C1427" w:rsidRDefault="003C1427" w:rsidP="003C1427">
      <w:pPr>
        <w:jc w:val="both"/>
        <w:rPr>
          <w:color w:val="000000"/>
          <w:lang w:val="en-US" w:eastAsia="en-US"/>
        </w:rPr>
      </w:pPr>
    </w:p>
    <w:p w:rsidR="003A4146" w:rsidRPr="00513A63" w:rsidRDefault="00AC5180" w:rsidP="003A4146">
      <w:pPr>
        <w:pStyle w:val="Default"/>
        <w:numPr>
          <w:ilvl w:val="0"/>
          <w:numId w:val="10"/>
        </w:numPr>
        <w:tabs>
          <w:tab w:val="left" w:pos="360"/>
          <w:tab w:val="left" w:pos="720"/>
        </w:tabs>
        <w:ind w:left="360"/>
        <w:jc w:val="both"/>
      </w:pPr>
      <w:r w:rsidRPr="00513A63">
        <w:t xml:space="preserve">The SRSG notes in his comments dated </w:t>
      </w:r>
      <w:r w:rsidR="005E7EA7" w:rsidRPr="00513A63">
        <w:t>20 February 2012 that</w:t>
      </w:r>
      <w:r w:rsidRPr="00513A63">
        <w:t xml:space="preserve"> </w:t>
      </w:r>
      <w:r w:rsidR="005E7EA7" w:rsidRPr="00513A63">
        <w:t xml:space="preserve">in this case UNMIK has been able to obtain from EULEX copies of “some </w:t>
      </w:r>
      <w:r w:rsidRPr="00513A63">
        <w:t>documents which were held by the former Office on Missing Persons and Forensics”</w:t>
      </w:r>
      <w:r w:rsidR="00642802" w:rsidRPr="00513A63">
        <w:t xml:space="preserve"> </w:t>
      </w:r>
      <w:r w:rsidR="005E7EA7" w:rsidRPr="00513A63">
        <w:t xml:space="preserve">and a EULEX Police </w:t>
      </w:r>
      <w:r w:rsidR="00F90097" w:rsidRPr="00513A63">
        <w:t>WCIU</w:t>
      </w:r>
      <w:r w:rsidR="00513A63" w:rsidRPr="00513A63">
        <w:t xml:space="preserve"> Case Analysis Report</w:t>
      </w:r>
      <w:r w:rsidR="005E7EA7" w:rsidRPr="00513A63">
        <w:t xml:space="preserve"> </w:t>
      </w:r>
      <w:r w:rsidR="003A4146" w:rsidRPr="00513A63">
        <w:t>providing a summary of actions taken by UNMIK Police. He also states that at that time UNMI</w:t>
      </w:r>
      <w:r w:rsidR="00A8061A" w:rsidRPr="00513A63">
        <w:t>K</w:t>
      </w:r>
      <w:r w:rsidR="003A4146" w:rsidRPr="00513A63">
        <w:t xml:space="preserve"> was still “in the process of attempting to retrieve more documents” to establish whether any further investigation was carried out. </w:t>
      </w:r>
      <w:r w:rsidR="007507A1" w:rsidRPr="00513A63">
        <w:t xml:space="preserve">On </w:t>
      </w:r>
      <w:r w:rsidR="003A4146" w:rsidRPr="00513A63">
        <w:t xml:space="preserve">25 February 2013, UNMIK confirmed that the disclosure of information on the case could be considered final. </w:t>
      </w:r>
    </w:p>
    <w:p w:rsidR="00EA3722" w:rsidRDefault="00EA3722" w:rsidP="00EA3722">
      <w:pPr>
        <w:pStyle w:val="Default"/>
        <w:tabs>
          <w:tab w:val="left" w:pos="360"/>
          <w:tab w:val="left" w:pos="720"/>
        </w:tabs>
        <w:ind w:left="360"/>
        <w:jc w:val="both"/>
      </w:pPr>
    </w:p>
    <w:p w:rsidR="007D3AE4" w:rsidRPr="00513A63" w:rsidRDefault="00846656" w:rsidP="007D3AE4">
      <w:pPr>
        <w:pStyle w:val="Default"/>
        <w:numPr>
          <w:ilvl w:val="0"/>
          <w:numId w:val="10"/>
        </w:numPr>
        <w:tabs>
          <w:tab w:val="left" w:pos="360"/>
          <w:tab w:val="left" w:pos="720"/>
        </w:tabs>
        <w:ind w:left="360"/>
        <w:jc w:val="both"/>
        <w:rPr>
          <w:lang w:val="en-US" w:eastAsia="en-US"/>
        </w:rPr>
      </w:pPr>
      <w:r w:rsidRPr="00513A63">
        <w:rPr>
          <w:lang w:val="en-US" w:eastAsia="en-US"/>
        </w:rPr>
        <w:t>As rega</w:t>
      </w:r>
      <w:r w:rsidR="00715C84" w:rsidRPr="00513A63">
        <w:rPr>
          <w:lang w:val="en-US" w:eastAsia="en-US"/>
        </w:rPr>
        <w:t>rds the merits of the complaint</w:t>
      </w:r>
      <w:r w:rsidR="00F90097" w:rsidRPr="00513A63">
        <w:rPr>
          <w:lang w:val="en-US" w:eastAsia="en-US"/>
        </w:rPr>
        <w:t xml:space="preserve">, </w:t>
      </w:r>
      <w:r w:rsidR="003C1427" w:rsidRPr="00513A63">
        <w:rPr>
          <w:lang w:val="en-US" w:eastAsia="en-US"/>
        </w:rPr>
        <w:t xml:space="preserve">the SRSG </w:t>
      </w:r>
      <w:r w:rsidRPr="00513A63">
        <w:rPr>
          <w:lang w:val="en-US" w:eastAsia="en-US"/>
        </w:rPr>
        <w:t>states</w:t>
      </w:r>
      <w:r w:rsidR="00CC0CAB" w:rsidRPr="00513A63">
        <w:rPr>
          <w:lang w:val="en-US" w:eastAsia="en-US"/>
        </w:rPr>
        <w:t xml:space="preserve"> </w:t>
      </w:r>
      <w:r w:rsidR="00715C84" w:rsidRPr="00513A63">
        <w:rPr>
          <w:lang w:val="en-US" w:eastAsia="en-US"/>
        </w:rPr>
        <w:t xml:space="preserve">that there is no allegation in this case that </w:t>
      </w:r>
      <w:r w:rsidR="00715C84" w:rsidRPr="00513A63">
        <w:t xml:space="preserve">Dušan Bogićević was ever seen in the custody of UNMIK or any group under its control. It is therefore understood that the complainant does not allege a violation of the substantive element of Article 2, but only of its procedural element. </w:t>
      </w:r>
      <w:r w:rsidR="00E87DF2" w:rsidRPr="00513A63">
        <w:t xml:space="preserve">The SRSG accepts that the procedural obligation under Article 2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w:t>
      </w:r>
    </w:p>
    <w:p w:rsidR="007D3AE4" w:rsidRDefault="007D3AE4" w:rsidP="007D3AE4">
      <w:pPr>
        <w:pStyle w:val="ListParagraph"/>
        <w:rPr>
          <w:bCs/>
        </w:rPr>
      </w:pPr>
    </w:p>
    <w:p w:rsidR="007D3AE4" w:rsidRPr="00513A63" w:rsidRDefault="00181054" w:rsidP="007D3AE4">
      <w:pPr>
        <w:pStyle w:val="Default"/>
        <w:numPr>
          <w:ilvl w:val="0"/>
          <w:numId w:val="10"/>
        </w:numPr>
        <w:tabs>
          <w:tab w:val="left" w:pos="360"/>
          <w:tab w:val="left" w:pos="720"/>
        </w:tabs>
        <w:ind w:left="360"/>
        <w:jc w:val="both"/>
        <w:rPr>
          <w:lang w:val="en-US" w:eastAsia="en-US"/>
        </w:rPr>
      </w:pPr>
      <w:r w:rsidRPr="00513A63">
        <w:rPr>
          <w:bCs/>
        </w:rPr>
        <w:t xml:space="preserve">The SRSG </w:t>
      </w:r>
      <w:r w:rsidR="00846656" w:rsidRPr="00513A63">
        <w:rPr>
          <w:bCs/>
        </w:rPr>
        <w:t>argues</w:t>
      </w:r>
      <w:r w:rsidR="00B773DF" w:rsidRPr="00513A63">
        <w:rPr>
          <w:bCs/>
        </w:rPr>
        <w:t xml:space="preserve"> that the investigation into </w:t>
      </w:r>
      <w:r w:rsidR="00ED3206" w:rsidRPr="00513A63">
        <w:t xml:space="preserve">Dušan Bogićević’s </w:t>
      </w:r>
      <w:r w:rsidR="00DE272D" w:rsidRPr="00513A63">
        <w:rPr>
          <w:bCs/>
        </w:rPr>
        <w:t>case complied with</w:t>
      </w:r>
      <w:r w:rsidRPr="00513A63">
        <w:rPr>
          <w:bCs/>
        </w:rPr>
        <w:t xml:space="preserve"> </w:t>
      </w:r>
      <w:r w:rsidR="00B773DF" w:rsidRPr="00513A63">
        <w:rPr>
          <w:bCs/>
        </w:rPr>
        <w:t>the standards of an effective investigation as envisaged by</w:t>
      </w:r>
      <w:r w:rsidRPr="00513A63">
        <w:rPr>
          <w:bCs/>
        </w:rPr>
        <w:t xml:space="preserve"> Article 2</w:t>
      </w:r>
      <w:r w:rsidR="00082ECE" w:rsidRPr="00513A63">
        <w:rPr>
          <w:bCs/>
        </w:rPr>
        <w:t xml:space="preserve"> of the ECHR</w:t>
      </w:r>
      <w:r w:rsidR="005C33B5" w:rsidRPr="00513A63">
        <w:rPr>
          <w:bCs/>
        </w:rPr>
        <w:t>, especially when considering</w:t>
      </w:r>
      <w:r w:rsidR="00ED3206" w:rsidRPr="00513A63">
        <w:rPr>
          <w:bCs/>
        </w:rPr>
        <w:t xml:space="preserve"> the circumstances</w:t>
      </w:r>
      <w:r w:rsidR="005C33B5" w:rsidRPr="00513A63">
        <w:rPr>
          <w:bCs/>
        </w:rPr>
        <w:t xml:space="preserve"> prevailing in Kosovo </w:t>
      </w:r>
      <w:r w:rsidR="00B773DF" w:rsidRPr="00513A63">
        <w:rPr>
          <w:bCs/>
        </w:rPr>
        <w:t>at that time</w:t>
      </w:r>
      <w:r w:rsidRPr="00513A63">
        <w:rPr>
          <w:bCs/>
        </w:rPr>
        <w:t>.</w:t>
      </w:r>
      <w:r w:rsidR="007D3AE4" w:rsidRPr="00513A63">
        <w:rPr>
          <w:bCs/>
        </w:rPr>
        <w:t xml:space="preserve"> The SRSG further argues that in its case-law on Article 2, the European Court</w:t>
      </w:r>
      <w:r w:rsidR="00F90097" w:rsidRPr="00513A63">
        <w:rPr>
          <w:bCs/>
        </w:rPr>
        <w:t xml:space="preserve"> of Human Rights</w:t>
      </w:r>
      <w:r w:rsidR="007D3AE4" w:rsidRPr="00513A63">
        <w:rPr>
          <w:bCs/>
        </w:rPr>
        <w:t xml:space="preserve"> has stated that due consideration shall be given to the difficulties inherent to post-conflict situations, and the problems limiting the ability of investigating authorities in investigating such cases. </w:t>
      </w:r>
      <w:r w:rsidR="007D3AE4" w:rsidRPr="00513A63">
        <w:rPr>
          <w:lang w:eastAsia="en-US"/>
        </w:rPr>
        <w:t>In this regard, the SRSG recalls the judgment of 15 February 2011 rendered by the</w:t>
      </w:r>
      <w:r w:rsidR="00F90097" w:rsidRPr="00513A63">
        <w:rPr>
          <w:lang w:eastAsia="en-US"/>
        </w:rPr>
        <w:t xml:space="preserve"> European Court </w:t>
      </w:r>
      <w:r w:rsidR="007D3AE4" w:rsidRPr="00513A63">
        <w:rPr>
          <w:lang w:eastAsia="en-US"/>
        </w:rPr>
        <w:t xml:space="preserve">in the case </w:t>
      </w:r>
      <w:r w:rsidR="007D3AE4" w:rsidRPr="00513A63">
        <w:rPr>
          <w:i/>
          <w:lang w:eastAsia="en-US"/>
        </w:rPr>
        <w:t>Palić v. Bosnia and Herzegovina</w:t>
      </w:r>
      <w:r w:rsidR="007D3AE4" w:rsidRPr="00513A63">
        <w:rPr>
          <w:lang w:eastAsia="en-US"/>
        </w:rPr>
        <w:t xml:space="preserve"> stating at paragraph 70:</w:t>
      </w:r>
    </w:p>
    <w:p w:rsidR="007D3AE4" w:rsidRPr="00513A63" w:rsidRDefault="007D3AE4" w:rsidP="007D3AE4">
      <w:pPr>
        <w:suppressAutoHyphens/>
        <w:ind w:left="720"/>
        <w:rPr>
          <w:lang w:eastAsia="ar-SA"/>
        </w:rPr>
      </w:pPr>
    </w:p>
    <w:p w:rsidR="007D3AE4" w:rsidRPr="00513A63" w:rsidRDefault="007D3AE4" w:rsidP="007D3AE4">
      <w:pPr>
        <w:suppressAutoHyphens/>
        <w:ind w:left="720"/>
        <w:jc w:val="both"/>
        <w:rPr>
          <w:lang w:eastAsia="en-US"/>
        </w:rPr>
      </w:pPr>
      <w:r w:rsidRPr="00513A63">
        <w:rPr>
          <w:lang w:eastAsia="en-US"/>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7D3AE4" w:rsidRPr="00513A63" w:rsidRDefault="007D3AE4" w:rsidP="007D3AE4">
      <w:pPr>
        <w:suppressAutoHyphens/>
        <w:jc w:val="both"/>
        <w:rPr>
          <w:lang w:eastAsia="en-US"/>
        </w:rPr>
      </w:pPr>
    </w:p>
    <w:p w:rsidR="00EC7922" w:rsidRPr="00513A63" w:rsidRDefault="00513A63" w:rsidP="00183BF4">
      <w:pPr>
        <w:pStyle w:val="Default"/>
        <w:numPr>
          <w:ilvl w:val="0"/>
          <w:numId w:val="10"/>
        </w:numPr>
        <w:tabs>
          <w:tab w:val="left" w:pos="360"/>
          <w:tab w:val="left" w:pos="720"/>
        </w:tabs>
        <w:ind w:left="360"/>
        <w:jc w:val="both"/>
        <w:rPr>
          <w:i/>
          <w:lang w:val="en-US" w:eastAsia="en-US"/>
        </w:rPr>
      </w:pPr>
      <w:r w:rsidRPr="00513A63">
        <w:rPr>
          <w:lang w:val="en-US" w:eastAsia="en-US"/>
        </w:rPr>
        <w:t>In the view</w:t>
      </w:r>
      <w:r w:rsidR="007D3AE4" w:rsidRPr="00513A63">
        <w:rPr>
          <w:lang w:val="en-US" w:eastAsia="en-US"/>
        </w:rPr>
        <w:t xml:space="preserve"> of the SRSG, </w:t>
      </w:r>
      <w:r w:rsidRPr="00513A63">
        <w:rPr>
          <w:lang w:val="en-US" w:eastAsia="en-US"/>
        </w:rPr>
        <w:t xml:space="preserve">in the aftermath of the Kosovo conflict, </w:t>
      </w:r>
      <w:r w:rsidR="008D0AB5" w:rsidRPr="00513A63">
        <w:rPr>
          <w:lang w:val="en-US" w:eastAsia="en-US"/>
        </w:rPr>
        <w:t>UNMIK was faced with a very similar situation</w:t>
      </w:r>
      <w:r w:rsidRPr="00513A63">
        <w:rPr>
          <w:lang w:val="en-US" w:eastAsia="en-US"/>
        </w:rPr>
        <w:t xml:space="preserve"> to</w:t>
      </w:r>
      <w:r w:rsidR="00E87DF2" w:rsidRPr="00513A63">
        <w:rPr>
          <w:lang w:val="en-US" w:eastAsia="en-US"/>
        </w:rPr>
        <w:t xml:space="preserve"> the one in Bosnia. The SRSG states that</w:t>
      </w:r>
      <w:r w:rsidR="004B2C73" w:rsidRPr="00513A63">
        <w:rPr>
          <w:lang w:val="en-US" w:eastAsia="en-US"/>
        </w:rPr>
        <w:t xml:space="preserve"> thousands of people were displaced or went missing</w:t>
      </w:r>
      <w:r w:rsidR="00E87DF2" w:rsidRPr="00513A63">
        <w:rPr>
          <w:lang w:val="en-US" w:eastAsia="en-US"/>
        </w:rPr>
        <w:t>.</w:t>
      </w:r>
      <w:r w:rsidR="004B2C73" w:rsidRPr="00513A63">
        <w:rPr>
          <w:lang w:val="en-US" w:eastAsia="en-US"/>
        </w:rPr>
        <w:t xml:space="preserve"> </w:t>
      </w:r>
      <w:r w:rsidR="00E87DF2" w:rsidRPr="00513A63">
        <w:rPr>
          <w:lang w:val="en-US" w:eastAsia="en-US"/>
        </w:rPr>
        <w:t>Many</w:t>
      </w:r>
      <w:r w:rsidRPr="00513A63">
        <w:rPr>
          <w:lang w:val="en-US" w:eastAsia="en-US"/>
        </w:rPr>
        <w:t xml:space="preserve"> of the persons who</w:t>
      </w:r>
      <w:r w:rsidR="004B2C73" w:rsidRPr="00513A63">
        <w:rPr>
          <w:lang w:val="en-US" w:eastAsia="en-US"/>
        </w:rPr>
        <w:t xml:space="preserve"> went missing were abducted, killed, and buried in unmarked graves inside or outside Kosovo, which made very difficult locating and r</w:t>
      </w:r>
      <w:r w:rsidR="008C5F2C" w:rsidRPr="00513A63">
        <w:rPr>
          <w:lang w:val="en-US" w:eastAsia="en-US"/>
        </w:rPr>
        <w:t xml:space="preserve">ecovering their mortal remains. </w:t>
      </w:r>
    </w:p>
    <w:p w:rsidR="00EC7922" w:rsidRPr="00513A63" w:rsidRDefault="00EC7922" w:rsidP="00EC7922">
      <w:pPr>
        <w:pStyle w:val="Default"/>
        <w:tabs>
          <w:tab w:val="left" w:pos="360"/>
          <w:tab w:val="left" w:pos="720"/>
        </w:tabs>
        <w:ind w:left="360"/>
        <w:jc w:val="both"/>
        <w:rPr>
          <w:i/>
          <w:lang w:val="en-US" w:eastAsia="en-US"/>
        </w:rPr>
      </w:pPr>
    </w:p>
    <w:p w:rsidR="0099733A" w:rsidRPr="00513A63" w:rsidRDefault="008C5F2C" w:rsidP="00ED3206">
      <w:pPr>
        <w:pStyle w:val="Default"/>
        <w:numPr>
          <w:ilvl w:val="0"/>
          <w:numId w:val="10"/>
        </w:numPr>
        <w:tabs>
          <w:tab w:val="left" w:pos="360"/>
          <w:tab w:val="left" w:pos="720"/>
        </w:tabs>
        <w:ind w:left="360"/>
        <w:jc w:val="both"/>
        <w:rPr>
          <w:lang w:val="en-US" w:eastAsia="en-US"/>
        </w:rPr>
      </w:pPr>
      <w:r w:rsidRPr="00513A63">
        <w:rPr>
          <w:lang w:val="en-US" w:eastAsia="en-US"/>
        </w:rPr>
        <w:t>In June 2002, UNMIK created the OMPF with the mandate to determi</w:t>
      </w:r>
      <w:r w:rsidR="00F90097" w:rsidRPr="00513A63">
        <w:rPr>
          <w:lang w:val="en-US" w:eastAsia="en-US"/>
        </w:rPr>
        <w:t>ne</w:t>
      </w:r>
      <w:r w:rsidR="00EC7922" w:rsidRPr="00513A63">
        <w:rPr>
          <w:lang w:val="en-US" w:eastAsia="en-US"/>
        </w:rPr>
        <w:t xml:space="preserve"> the fate of the missing;</w:t>
      </w:r>
      <w:r w:rsidRPr="00513A63">
        <w:rPr>
          <w:lang w:val="en-US" w:eastAsia="en-US"/>
        </w:rPr>
        <w:t xml:space="preserve"> however its work</w:t>
      </w:r>
      <w:r w:rsidR="00EC7922" w:rsidRPr="00513A63">
        <w:rPr>
          <w:lang w:val="en-US" w:eastAsia="en-US"/>
        </w:rPr>
        <w:t xml:space="preserve"> was</w:t>
      </w:r>
      <w:r w:rsidRPr="00513A63">
        <w:rPr>
          <w:lang w:val="en-US" w:eastAsia="en-US"/>
        </w:rPr>
        <w:t xml:space="preserve"> faced</w:t>
      </w:r>
      <w:r w:rsidR="00EC7922" w:rsidRPr="00513A63">
        <w:rPr>
          <w:lang w:val="en-US" w:eastAsia="en-US"/>
        </w:rPr>
        <w:t xml:space="preserve"> with</w:t>
      </w:r>
      <w:r w:rsidRPr="00513A63">
        <w:rPr>
          <w:lang w:val="en-US" w:eastAsia="en-US"/>
        </w:rPr>
        <w:t xml:space="preserve"> many challenges at the beginni</w:t>
      </w:r>
      <w:r w:rsidR="00513A63" w:rsidRPr="00513A63">
        <w:rPr>
          <w:lang w:val="en-US" w:eastAsia="en-US"/>
        </w:rPr>
        <w:t>ng of its</w:t>
      </w:r>
      <w:r w:rsidRPr="00513A63">
        <w:rPr>
          <w:lang w:val="en-US" w:eastAsia="en-US"/>
        </w:rPr>
        <w:t xml:space="preserve"> operations, due to the work previously done mostly by actors independent from UNMIK. In particular, the SRSG states that </w:t>
      </w:r>
      <w:r w:rsidR="00486846" w:rsidRPr="00513A63">
        <w:rPr>
          <w:lang w:val="en-US" w:eastAsia="en-US"/>
        </w:rPr>
        <w:t>the collection of evidence of war crimes began with the arrival of NATO in 1999 with independent teams from several countries operating under the loose coordination of the ICTY.</w:t>
      </w:r>
      <w:r w:rsidR="00446541" w:rsidRPr="00513A63">
        <w:rPr>
          <w:lang w:val="en-US" w:eastAsia="en-US"/>
        </w:rPr>
        <w:t xml:space="preserve"> A lack of standard o</w:t>
      </w:r>
      <w:r w:rsidR="00513A63" w:rsidRPr="00513A63">
        <w:rPr>
          <w:lang w:val="en-US" w:eastAsia="en-US"/>
        </w:rPr>
        <w:t>perating procedures or centralis</w:t>
      </w:r>
      <w:r w:rsidR="00446541" w:rsidRPr="00513A63">
        <w:rPr>
          <w:lang w:val="en-US" w:eastAsia="en-US"/>
        </w:rPr>
        <w:t xml:space="preserve">ation led to problems with the evidence gathered in this phase. </w:t>
      </w:r>
      <w:r w:rsidR="008F713C" w:rsidRPr="00513A63">
        <w:rPr>
          <w:lang w:val="en-US" w:eastAsia="en-US"/>
        </w:rPr>
        <w:t xml:space="preserve">In 2000, </w:t>
      </w:r>
      <w:r w:rsidR="00513A63" w:rsidRPr="00513A63">
        <w:rPr>
          <w:lang w:val="en-US" w:eastAsia="en-US"/>
        </w:rPr>
        <w:t>ICTY launched a large, centralis</w:t>
      </w:r>
      <w:r w:rsidR="008F713C" w:rsidRPr="00513A63">
        <w:rPr>
          <w:lang w:val="en-US" w:eastAsia="en-US"/>
        </w:rPr>
        <w:t xml:space="preserve">ed </w:t>
      </w:r>
      <w:r w:rsidR="00446541" w:rsidRPr="00513A63">
        <w:rPr>
          <w:lang w:val="en-US" w:eastAsia="en-US"/>
        </w:rPr>
        <w:t>forensic operation, based at the Rahovec/Orahovac mortuary, with standard</w:t>
      </w:r>
      <w:r w:rsidR="008F713C" w:rsidRPr="00513A63">
        <w:rPr>
          <w:lang w:val="en-US" w:eastAsia="en-US"/>
        </w:rPr>
        <w:t xml:space="preserve"> operating procedures for all forensic teams except the British one, </w:t>
      </w:r>
      <w:r w:rsidR="00F90097" w:rsidRPr="00513A63">
        <w:rPr>
          <w:lang w:val="en-US" w:eastAsia="en-US"/>
        </w:rPr>
        <w:t>which operated</w:t>
      </w:r>
      <w:r w:rsidR="00446541" w:rsidRPr="00513A63">
        <w:rPr>
          <w:lang w:val="en-US" w:eastAsia="en-US"/>
        </w:rPr>
        <w:t xml:space="preserve"> independently out of</w:t>
      </w:r>
      <w:r w:rsidR="008F713C" w:rsidRPr="00513A63">
        <w:rPr>
          <w:lang w:val="en-US" w:eastAsia="en-US"/>
        </w:rPr>
        <w:t xml:space="preserve"> Prishtinë/Priština. </w:t>
      </w:r>
      <w:r w:rsidR="00F90097" w:rsidRPr="00513A63">
        <w:rPr>
          <w:lang w:val="en-US" w:eastAsia="en-US"/>
        </w:rPr>
        <w:t>The</w:t>
      </w:r>
      <w:r w:rsidR="00EC7922" w:rsidRPr="00513A63">
        <w:rPr>
          <w:lang w:val="en-US" w:eastAsia="en-US"/>
        </w:rPr>
        <w:t xml:space="preserve"> SRSG</w:t>
      </w:r>
      <w:r w:rsidR="00A4541A" w:rsidRPr="00513A63">
        <w:rPr>
          <w:lang w:val="en-US" w:eastAsia="en-US"/>
        </w:rPr>
        <w:t xml:space="preserve"> states that, </w:t>
      </w:r>
      <w:r w:rsidR="00446541" w:rsidRPr="00513A63">
        <w:rPr>
          <w:lang w:val="en-US" w:eastAsia="en-US"/>
        </w:rPr>
        <w:t xml:space="preserve">in the effort to demonstrate that crimes were systematic and </w:t>
      </w:r>
      <w:r w:rsidR="00A4541A" w:rsidRPr="00513A63">
        <w:rPr>
          <w:lang w:val="en-US" w:eastAsia="en-US"/>
        </w:rPr>
        <w:t>widespread,</w:t>
      </w:r>
      <w:r w:rsidR="00446541" w:rsidRPr="00513A63">
        <w:rPr>
          <w:lang w:val="en-US" w:eastAsia="en-US"/>
        </w:rPr>
        <w:t xml:space="preserve"> the ICTY teams </w:t>
      </w:r>
      <w:r w:rsidR="00C75E42" w:rsidRPr="00513A63">
        <w:rPr>
          <w:lang w:val="en-US" w:eastAsia="en-US"/>
        </w:rPr>
        <w:t xml:space="preserve">conducted autopsies on as many </w:t>
      </w:r>
      <w:r w:rsidR="00446541" w:rsidRPr="00513A63">
        <w:rPr>
          <w:lang w:val="en-US" w:eastAsia="en-US"/>
        </w:rPr>
        <w:t>bodies as possible</w:t>
      </w:r>
      <w:r w:rsidR="007009C5" w:rsidRPr="00513A63">
        <w:rPr>
          <w:lang w:val="en-US" w:eastAsia="en-US"/>
        </w:rPr>
        <w:t xml:space="preserve">, </w:t>
      </w:r>
      <w:r w:rsidR="00446541" w:rsidRPr="00513A63">
        <w:rPr>
          <w:lang w:val="en-US" w:eastAsia="en-US"/>
        </w:rPr>
        <w:t>carrying out little or no identification work</w:t>
      </w:r>
      <w:r w:rsidR="00A4541A" w:rsidRPr="00513A63">
        <w:rPr>
          <w:lang w:val="en-US" w:eastAsia="en-US"/>
        </w:rPr>
        <w:t xml:space="preserve">; moreover, unidentified bodies exhumed in 1999 were reburied in locations still unknown to the OMPF. </w:t>
      </w:r>
      <w:r w:rsidR="00F90097" w:rsidRPr="00513A63">
        <w:rPr>
          <w:lang w:val="en-US" w:eastAsia="en-US"/>
        </w:rPr>
        <w:t>After the ICTY closed their</w:t>
      </w:r>
      <w:r w:rsidR="00A73716" w:rsidRPr="00513A63">
        <w:rPr>
          <w:lang w:val="en-US" w:eastAsia="en-US"/>
        </w:rPr>
        <w:t xml:space="preserve"> operation in 2000, the UNMIK Police MPU continued small-scale investigations on missing persons “</w:t>
      </w:r>
      <w:r w:rsidR="00A73716" w:rsidRPr="00513A63">
        <w:rPr>
          <w:i/>
          <w:lang w:val="en-US" w:eastAsia="en-US"/>
        </w:rPr>
        <w:t>ex-officio</w:t>
      </w:r>
      <w:r w:rsidR="00A73716" w:rsidRPr="00513A63">
        <w:rPr>
          <w:lang w:val="en-US" w:eastAsia="en-US"/>
        </w:rPr>
        <w:t>, without any broader prosecutorial strategy”</w:t>
      </w:r>
      <w:r w:rsidR="00C75E42" w:rsidRPr="00513A63">
        <w:rPr>
          <w:lang w:val="en-US" w:eastAsia="en-US"/>
        </w:rPr>
        <w:t>. As a consequence</w:t>
      </w:r>
      <w:r w:rsidR="00F90097" w:rsidRPr="00513A63">
        <w:rPr>
          <w:lang w:val="en-US" w:eastAsia="en-US"/>
        </w:rPr>
        <w:t>,</w:t>
      </w:r>
      <w:r w:rsidR="00C75E42" w:rsidRPr="00513A63">
        <w:rPr>
          <w:lang w:val="en-US" w:eastAsia="en-US"/>
        </w:rPr>
        <w:t xml:space="preserve"> </w:t>
      </w:r>
      <w:r w:rsidR="00A73716" w:rsidRPr="00513A63">
        <w:rPr>
          <w:lang w:val="en-US" w:eastAsia="en-US"/>
        </w:rPr>
        <w:t>a large amount of unstruct</w:t>
      </w:r>
      <w:r w:rsidR="00F90097" w:rsidRPr="00513A63">
        <w:rPr>
          <w:lang w:val="en-US" w:eastAsia="en-US"/>
        </w:rPr>
        <w:t>ured information was collected.</w:t>
      </w:r>
      <w:r w:rsidR="00A73716" w:rsidRPr="00513A63">
        <w:rPr>
          <w:lang w:val="en-US" w:eastAsia="en-US"/>
        </w:rPr>
        <w:t xml:space="preserve"> </w:t>
      </w:r>
      <w:r w:rsidR="00C75E42" w:rsidRPr="00513A63">
        <w:rPr>
          <w:lang w:val="en-US" w:eastAsia="en-US"/>
        </w:rPr>
        <w:t xml:space="preserve">The SRSG states that, </w:t>
      </w:r>
      <w:r w:rsidR="008F3F05" w:rsidRPr="00513A63">
        <w:rPr>
          <w:lang w:val="en-US" w:eastAsia="en-US"/>
        </w:rPr>
        <w:t>taking into account</w:t>
      </w:r>
      <w:r w:rsidR="00E46EFC" w:rsidRPr="00513A63">
        <w:rPr>
          <w:lang w:val="en-US" w:eastAsia="en-US"/>
        </w:rPr>
        <w:t xml:space="preserve"> the difficulties described above,</w:t>
      </w:r>
      <w:r w:rsidR="008F3F05" w:rsidRPr="00513A63">
        <w:rPr>
          <w:lang w:val="en-US" w:eastAsia="en-US"/>
        </w:rPr>
        <w:t xml:space="preserve"> </w:t>
      </w:r>
      <w:r w:rsidR="000A2FBB" w:rsidRPr="00513A63">
        <w:rPr>
          <w:lang w:val="en-US" w:eastAsia="en-US"/>
        </w:rPr>
        <w:t xml:space="preserve">“the process </w:t>
      </w:r>
      <w:r w:rsidR="008F3F05" w:rsidRPr="00513A63">
        <w:rPr>
          <w:lang w:val="en-US" w:eastAsia="en-US"/>
        </w:rPr>
        <w:t xml:space="preserve">of dealing effectively with disappearances and other serious violations of international humanitarian law has been understandably incremental” in Kosovo </w:t>
      </w:r>
      <w:r w:rsidR="00E46EFC" w:rsidRPr="00513A63">
        <w:rPr>
          <w:lang w:val="en-US" w:eastAsia="en-US"/>
        </w:rPr>
        <w:t>as it is</w:t>
      </w:r>
      <w:r w:rsidR="008F3F05" w:rsidRPr="00513A63">
        <w:rPr>
          <w:lang w:val="en-US" w:eastAsia="en-US"/>
        </w:rPr>
        <w:t xml:space="preserve"> reflected in the </w:t>
      </w:r>
      <w:r w:rsidR="008F3F05" w:rsidRPr="00513A63">
        <w:rPr>
          <w:i/>
          <w:lang w:val="en-US" w:eastAsia="en-US"/>
        </w:rPr>
        <w:t xml:space="preserve">Palić </w:t>
      </w:r>
      <w:r w:rsidR="008F3F05" w:rsidRPr="00513A63">
        <w:rPr>
          <w:lang w:val="en-US" w:eastAsia="en-US"/>
        </w:rPr>
        <w:t>case referred to above.</w:t>
      </w:r>
      <w:r w:rsidR="00C75E42" w:rsidRPr="00513A63">
        <w:rPr>
          <w:lang w:val="en-US" w:eastAsia="en-US"/>
        </w:rPr>
        <w:t xml:space="preserve"> The SRSG concludes that</w:t>
      </w:r>
      <w:r w:rsidR="00E46EFC" w:rsidRPr="00513A63">
        <w:rPr>
          <w:lang w:val="en-US" w:eastAsia="en-US"/>
        </w:rPr>
        <w:t xml:space="preserve"> </w:t>
      </w:r>
      <w:r w:rsidR="00C75E42" w:rsidRPr="00513A63">
        <w:rPr>
          <w:lang w:val="en-US" w:eastAsia="en-US"/>
        </w:rPr>
        <w:t xml:space="preserve">the work of the OMPF contributed greatly to determining the whereabouts and fate of the missing from the Kosovo conflict; however it was not possible to </w:t>
      </w:r>
      <w:r w:rsidR="00E46EFC" w:rsidRPr="00513A63">
        <w:rPr>
          <w:lang w:val="en-US" w:eastAsia="en-US"/>
        </w:rPr>
        <w:t xml:space="preserve">locate all the missing within the timeframe and resources available at that time. </w:t>
      </w:r>
    </w:p>
    <w:p w:rsidR="00C75E42" w:rsidRPr="002A2F90" w:rsidRDefault="00C75E42" w:rsidP="00C75E42">
      <w:pPr>
        <w:pStyle w:val="Default"/>
        <w:tabs>
          <w:tab w:val="left" w:pos="360"/>
          <w:tab w:val="left" w:pos="720"/>
        </w:tabs>
        <w:ind w:left="360"/>
        <w:jc w:val="both"/>
        <w:rPr>
          <w:highlight w:val="yellow"/>
          <w:lang w:val="en-US" w:eastAsia="en-US"/>
        </w:rPr>
      </w:pPr>
    </w:p>
    <w:p w:rsidR="00A73716" w:rsidRPr="00513A63" w:rsidRDefault="00C5631C" w:rsidP="000A2FBB">
      <w:pPr>
        <w:pStyle w:val="Default"/>
        <w:numPr>
          <w:ilvl w:val="0"/>
          <w:numId w:val="10"/>
        </w:numPr>
        <w:tabs>
          <w:tab w:val="left" w:pos="360"/>
          <w:tab w:val="left" w:pos="720"/>
        </w:tabs>
        <w:ind w:left="360"/>
        <w:jc w:val="both"/>
        <w:rPr>
          <w:lang w:val="en-US" w:eastAsia="en-US"/>
        </w:rPr>
      </w:pPr>
      <w:r w:rsidRPr="00513A63">
        <w:rPr>
          <w:lang w:val="en-US" w:eastAsia="en-US"/>
        </w:rPr>
        <w:t>The SRSG further argues that fundamental to conducting effective investi</w:t>
      </w:r>
      <w:r w:rsidR="00513A63" w:rsidRPr="00513A63">
        <w:rPr>
          <w:lang w:val="en-US" w:eastAsia="en-US"/>
        </w:rPr>
        <w:t>gations is a professional, well-</w:t>
      </w:r>
      <w:r w:rsidRPr="00513A63">
        <w:rPr>
          <w:lang w:val="en-US" w:eastAsia="en-US"/>
        </w:rPr>
        <w:t>trained and well-resourced police force and that such a force did not exist in Kosovo in the aftermath of the conflict</w:t>
      </w:r>
      <w:r w:rsidR="00F90097" w:rsidRPr="00513A63">
        <w:rPr>
          <w:lang w:val="en-US" w:eastAsia="en-US"/>
        </w:rPr>
        <w:t>.</w:t>
      </w:r>
      <w:r w:rsidRPr="00513A63">
        <w:rPr>
          <w:lang w:val="en-US" w:eastAsia="en-US"/>
        </w:rPr>
        <w:t xml:space="preserve"> </w:t>
      </w:r>
      <w:r w:rsidR="007009C5" w:rsidRPr="00513A63">
        <w:rPr>
          <w:lang w:val="en-US" w:eastAsia="en-US"/>
        </w:rPr>
        <w:t xml:space="preserve">In the policing vacuum </w:t>
      </w:r>
      <w:r w:rsidR="00F90097" w:rsidRPr="00513A63">
        <w:rPr>
          <w:lang w:val="en-US" w:eastAsia="en-US"/>
        </w:rPr>
        <w:t xml:space="preserve">following </w:t>
      </w:r>
      <w:r w:rsidR="007009C5" w:rsidRPr="00513A63">
        <w:rPr>
          <w:lang w:val="en-US" w:eastAsia="en-US"/>
        </w:rPr>
        <w:t xml:space="preserve">the end of the conflict, </w:t>
      </w:r>
      <w:r w:rsidRPr="00513A63">
        <w:rPr>
          <w:lang w:val="en-US" w:eastAsia="en-US"/>
        </w:rPr>
        <w:t>UNMIK had to build a new Kosovo Police Service from scratch</w:t>
      </w:r>
      <w:r w:rsidR="007009C5" w:rsidRPr="00513A63">
        <w:rPr>
          <w:lang w:val="en-US" w:eastAsia="en-US"/>
        </w:rPr>
        <w:t>, a long a</w:t>
      </w:r>
      <w:r w:rsidR="00F90097" w:rsidRPr="00513A63">
        <w:rPr>
          <w:lang w:val="en-US" w:eastAsia="en-US"/>
        </w:rPr>
        <w:t>nd</w:t>
      </w:r>
      <w:r w:rsidR="007009C5" w:rsidRPr="00513A63">
        <w:rPr>
          <w:lang w:val="en-US" w:eastAsia="en-US"/>
        </w:rPr>
        <w:t xml:space="preserve"> challenging task which, according to the SRSG, is still in progress</w:t>
      </w:r>
      <w:r w:rsidR="00F90097" w:rsidRPr="00513A63">
        <w:rPr>
          <w:lang w:val="en-US" w:eastAsia="en-US"/>
        </w:rPr>
        <w:t>.</w:t>
      </w:r>
      <w:r w:rsidRPr="00513A63">
        <w:rPr>
          <w:lang w:val="en-US" w:eastAsia="en-US"/>
        </w:rPr>
        <w:t xml:space="preserve"> </w:t>
      </w:r>
      <w:r w:rsidR="007009C5" w:rsidRPr="00513A63">
        <w:rPr>
          <w:lang w:val="en-US" w:eastAsia="en-US"/>
        </w:rPr>
        <w:t xml:space="preserve">The SRSG also states that </w:t>
      </w:r>
      <w:r w:rsidR="00103B00" w:rsidRPr="00513A63">
        <w:rPr>
          <w:lang w:val="en-US" w:eastAsia="en-US"/>
        </w:rPr>
        <w:t>UNMIK Police faced numerous challenges in exercising law enforcement functions gradually transferred to it by KFOR in 1999-2000. In this regard, he refers to the UNMIK Police Annual Report of 2000 describing the situation as follows:</w:t>
      </w:r>
    </w:p>
    <w:p w:rsidR="00103B00" w:rsidRPr="002A2F90" w:rsidRDefault="00103B00" w:rsidP="00103B00">
      <w:pPr>
        <w:pStyle w:val="ListParagraph"/>
        <w:rPr>
          <w:highlight w:val="yellow"/>
          <w:lang w:val="en-US" w:eastAsia="en-US"/>
        </w:rPr>
      </w:pPr>
    </w:p>
    <w:p w:rsidR="00103B00" w:rsidRPr="00513A63" w:rsidRDefault="00103B00" w:rsidP="007943D4">
      <w:pPr>
        <w:pStyle w:val="Default"/>
        <w:tabs>
          <w:tab w:val="left" w:pos="360"/>
          <w:tab w:val="left" w:pos="720"/>
        </w:tabs>
        <w:ind w:left="720"/>
        <w:jc w:val="both"/>
        <w:rPr>
          <w:lang w:val="en-US" w:eastAsia="en-US"/>
        </w:rPr>
      </w:pPr>
      <w:r w:rsidRPr="00513A63">
        <w:rPr>
          <w:lang w:val="en-US" w:eastAsia="en-US"/>
        </w:rPr>
        <w:t>“</w:t>
      </w:r>
      <w:r w:rsidR="00216513" w:rsidRPr="00513A63">
        <w:rPr>
          <w:lang w:val="en-US" w:eastAsia="en-US"/>
        </w:rPr>
        <w:t xml:space="preserve">UNMIK Police had to deal in </w:t>
      </w:r>
      <w:r w:rsidR="00F90097" w:rsidRPr="00513A63">
        <w:rPr>
          <w:lang w:val="en-US" w:eastAsia="en-US"/>
        </w:rPr>
        <w:t xml:space="preserve">the aftermath of war with dead </w:t>
      </w:r>
      <w:r w:rsidR="00216513" w:rsidRPr="00513A63">
        <w:rPr>
          <w:lang w:val="en-US" w:eastAsia="en-US"/>
        </w:rPr>
        <w:t xml:space="preserve">bodies and looted and burnt houses. Ethnic violence flared through illegal evictions, forcible takeovers of properties, the burning of houses and physical violence against communities all over Kosovo. Tempers and tensions were running high </w:t>
      </w:r>
      <w:r w:rsidR="004C1687" w:rsidRPr="00513A63">
        <w:rPr>
          <w:lang w:val="en-US" w:eastAsia="en-US"/>
        </w:rPr>
        <w:t>amongst</w:t>
      </w:r>
      <w:r w:rsidR="00216513" w:rsidRPr="00513A63">
        <w:rPr>
          <w:lang w:val="en-US" w:eastAsia="en-US"/>
        </w:rPr>
        <w:t xml:space="preserve"> all ethnic groups, exacerbated by reports of missing and dead persons. It became imperative for UNMIK to establish order and to quickly construct a framework to register and investigate crimes. </w:t>
      </w:r>
    </w:p>
    <w:p w:rsidR="00216513" w:rsidRPr="00513A63" w:rsidRDefault="00216513" w:rsidP="007943D4">
      <w:pPr>
        <w:pStyle w:val="Default"/>
        <w:tabs>
          <w:tab w:val="left" w:pos="360"/>
          <w:tab w:val="left" w:pos="720"/>
        </w:tabs>
        <w:ind w:left="720"/>
        <w:jc w:val="both"/>
        <w:rPr>
          <w:lang w:val="en-US" w:eastAsia="en-US"/>
        </w:rPr>
      </w:pPr>
    </w:p>
    <w:p w:rsidR="00216513" w:rsidRPr="00513A63" w:rsidRDefault="00216513" w:rsidP="007943D4">
      <w:pPr>
        <w:pStyle w:val="Default"/>
        <w:tabs>
          <w:tab w:val="left" w:pos="360"/>
          <w:tab w:val="left" w:pos="720"/>
        </w:tabs>
        <w:ind w:left="720"/>
        <w:jc w:val="both"/>
        <w:rPr>
          <w:lang w:val="en-US" w:eastAsia="en-US"/>
        </w:rPr>
      </w:pPr>
      <w:r w:rsidRPr="00513A63">
        <w:rPr>
          <w:lang w:val="en-US" w:eastAsia="en-US"/>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7009C5" w:rsidRPr="00513A63" w:rsidRDefault="007009C5" w:rsidP="007009C5">
      <w:pPr>
        <w:pStyle w:val="ListParagraph"/>
        <w:rPr>
          <w:lang w:val="en-US" w:eastAsia="en-US"/>
        </w:rPr>
      </w:pPr>
    </w:p>
    <w:p w:rsidR="007009C5" w:rsidRPr="00513A63" w:rsidRDefault="00216513" w:rsidP="000A2FBB">
      <w:pPr>
        <w:pStyle w:val="Default"/>
        <w:numPr>
          <w:ilvl w:val="0"/>
          <w:numId w:val="10"/>
        </w:numPr>
        <w:tabs>
          <w:tab w:val="left" w:pos="360"/>
          <w:tab w:val="left" w:pos="720"/>
        </w:tabs>
        <w:ind w:left="360"/>
        <w:jc w:val="both"/>
        <w:rPr>
          <w:lang w:val="en-US" w:eastAsia="en-US"/>
        </w:rPr>
      </w:pPr>
      <w:r w:rsidRPr="00513A63">
        <w:rPr>
          <w:lang w:val="en-US" w:eastAsia="en-US"/>
        </w:rPr>
        <w:t xml:space="preserve">The SRSG states that </w:t>
      </w:r>
      <w:r w:rsidR="004C1687" w:rsidRPr="00513A63">
        <w:rPr>
          <w:lang w:val="en-US" w:eastAsia="en-US"/>
        </w:rPr>
        <w:t xml:space="preserve">UNMIK international police officers working on cases of missing </w:t>
      </w:r>
      <w:r w:rsidR="00F90097" w:rsidRPr="00513A63">
        <w:rPr>
          <w:lang w:val="en-US" w:eastAsia="en-US"/>
        </w:rPr>
        <w:t>persons</w:t>
      </w:r>
      <w:r w:rsidR="004C1687" w:rsidRPr="00513A63">
        <w:rPr>
          <w:lang w:val="en-US" w:eastAsia="en-US"/>
        </w:rPr>
        <w:t xml:space="preserve">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w:t>
      </w:r>
      <w:r w:rsidR="006364CA" w:rsidRPr="00513A63">
        <w:rPr>
          <w:lang w:val="en-US" w:eastAsia="en-US"/>
        </w:rPr>
        <w:t>constraints</w:t>
      </w:r>
      <w:r w:rsidR="004C1687" w:rsidRPr="00513A63">
        <w:rPr>
          <w:lang w:val="en-US" w:eastAsia="en-US"/>
        </w:rPr>
        <w:t xml:space="preserve"> inhibited the ability of the UNMIK Police to conduct investigations according to the standards</w:t>
      </w:r>
      <w:r w:rsidR="006364CA" w:rsidRPr="00513A63">
        <w:rPr>
          <w:lang w:val="en-US" w:eastAsia="en-US"/>
        </w:rPr>
        <w:t xml:space="preserve"> that may be expected from</w:t>
      </w:r>
      <w:r w:rsidR="004C1687" w:rsidRPr="00513A63">
        <w:rPr>
          <w:lang w:val="en-US" w:eastAsia="en-US"/>
        </w:rPr>
        <w:t xml:space="preserve"> States with more established insti</w:t>
      </w:r>
      <w:r w:rsidR="006364CA" w:rsidRPr="00513A63">
        <w:rPr>
          <w:lang w:val="en-US" w:eastAsia="en-US"/>
        </w:rPr>
        <w:t>tutions</w:t>
      </w:r>
      <w:r w:rsidR="00F90097" w:rsidRPr="00513A63">
        <w:rPr>
          <w:lang w:val="en-US" w:eastAsia="en-US"/>
        </w:rPr>
        <w:t xml:space="preserve"> and are</w:t>
      </w:r>
      <w:r w:rsidR="006364CA" w:rsidRPr="00513A63">
        <w:rPr>
          <w:lang w:val="en-US" w:eastAsia="en-US"/>
        </w:rPr>
        <w:t xml:space="preserve"> not faced with the high number of cases of this nature associated with a post-conflict situation. </w:t>
      </w:r>
    </w:p>
    <w:p w:rsidR="006364CA" w:rsidRPr="00513A63" w:rsidRDefault="006364CA" w:rsidP="006364CA">
      <w:pPr>
        <w:pStyle w:val="Default"/>
        <w:tabs>
          <w:tab w:val="left" w:pos="360"/>
          <w:tab w:val="left" w:pos="720"/>
        </w:tabs>
        <w:ind w:left="360"/>
        <w:jc w:val="both"/>
        <w:rPr>
          <w:lang w:val="en-US" w:eastAsia="en-US"/>
        </w:rPr>
      </w:pPr>
    </w:p>
    <w:p w:rsidR="00F90097" w:rsidRPr="00513A63" w:rsidRDefault="006364CA" w:rsidP="000A2FBB">
      <w:pPr>
        <w:pStyle w:val="Default"/>
        <w:numPr>
          <w:ilvl w:val="0"/>
          <w:numId w:val="10"/>
        </w:numPr>
        <w:tabs>
          <w:tab w:val="left" w:pos="360"/>
          <w:tab w:val="left" w:pos="720"/>
        </w:tabs>
        <w:ind w:left="360"/>
        <w:jc w:val="both"/>
        <w:rPr>
          <w:lang w:val="en-US" w:eastAsia="en-US"/>
        </w:rPr>
      </w:pPr>
      <w:r w:rsidRPr="00513A63">
        <w:rPr>
          <w:lang w:val="en-US" w:eastAsia="en-US"/>
        </w:rPr>
        <w:t>As regards specifically the case at issue</w:t>
      </w:r>
      <w:r w:rsidRPr="00513A63">
        <w:rPr>
          <w:bCs/>
        </w:rPr>
        <w:t xml:space="preserve">, the SRSG states that UNMIK Police did open and pursue an investigation into </w:t>
      </w:r>
      <w:r w:rsidRPr="00513A63">
        <w:t xml:space="preserve">Dušan Bogićević’s </w:t>
      </w:r>
      <w:r w:rsidRPr="00513A63">
        <w:rPr>
          <w:bCs/>
        </w:rPr>
        <w:t xml:space="preserve">case, which </w:t>
      </w:r>
      <w:r w:rsidR="009F534B" w:rsidRPr="00513A63">
        <w:rPr>
          <w:bCs/>
        </w:rPr>
        <w:t xml:space="preserve">resulted in locating and handing over his mortal </w:t>
      </w:r>
      <w:r w:rsidRPr="00513A63">
        <w:rPr>
          <w:bCs/>
        </w:rPr>
        <w:t>remains</w:t>
      </w:r>
      <w:r w:rsidR="009F534B" w:rsidRPr="00513A63">
        <w:rPr>
          <w:bCs/>
        </w:rPr>
        <w:t xml:space="preserve"> to the family</w:t>
      </w:r>
      <w:r w:rsidRPr="00513A63">
        <w:t xml:space="preserve">. The SRSG states that a missing person case concerning Dušan Bogićević was opened by </w:t>
      </w:r>
      <w:r w:rsidR="009F534B" w:rsidRPr="00513A63">
        <w:t>the MPU of UNMIK Police in 2001; in 2006 his mortal remains were discover</w:t>
      </w:r>
      <w:r w:rsidR="00F90097" w:rsidRPr="00513A63">
        <w:t>ed and an autopsy was conducted. However, t</w:t>
      </w:r>
      <w:r w:rsidR="009F534B" w:rsidRPr="00513A63">
        <w:t>his could not establish the cau</w:t>
      </w:r>
      <w:r w:rsidR="00EB5812" w:rsidRPr="00513A63">
        <w:t xml:space="preserve">se of </w:t>
      </w:r>
      <w:r w:rsidR="00F90097" w:rsidRPr="00513A63">
        <w:t>his death. I</w:t>
      </w:r>
      <w:r w:rsidR="00EB5812" w:rsidRPr="00513A63">
        <w:t>n 2007</w:t>
      </w:r>
      <w:r w:rsidR="00F90097" w:rsidRPr="00513A63">
        <w:t xml:space="preserve"> the mortal remains of</w:t>
      </w:r>
      <w:r w:rsidR="00EB5812" w:rsidRPr="00513A63">
        <w:t xml:space="preserve"> Dušan Bogićević</w:t>
      </w:r>
      <w:r w:rsidR="00F90097" w:rsidRPr="00513A63">
        <w:t xml:space="preserve"> were identified and handed over to his family members. </w:t>
      </w:r>
    </w:p>
    <w:p w:rsidR="00F90097" w:rsidRPr="00513A63" w:rsidRDefault="00F90097" w:rsidP="00F90097">
      <w:pPr>
        <w:pStyle w:val="ListParagraph"/>
      </w:pPr>
    </w:p>
    <w:p w:rsidR="006364CA" w:rsidRPr="00513A63" w:rsidRDefault="00EB5812" w:rsidP="000A2FBB">
      <w:pPr>
        <w:pStyle w:val="Default"/>
        <w:numPr>
          <w:ilvl w:val="0"/>
          <w:numId w:val="10"/>
        </w:numPr>
        <w:tabs>
          <w:tab w:val="left" w:pos="360"/>
          <w:tab w:val="left" w:pos="720"/>
        </w:tabs>
        <w:ind w:left="360"/>
        <w:jc w:val="both"/>
        <w:rPr>
          <w:lang w:val="en-US" w:eastAsia="en-US"/>
        </w:rPr>
      </w:pPr>
      <w:r w:rsidRPr="00513A63">
        <w:t xml:space="preserve">The SRSG also states that, based on the information available, it is not possible to comment appropriately on the extent of investigative activities undertaken between 2001 and 2006. It appears, however, from the documents available that UNMIK Police did make investigative efforts in accordance with the procedural requirements of Article 2 of the ECHR to determine the fate and whereabouts of Dušan Bogićević. </w:t>
      </w:r>
    </w:p>
    <w:p w:rsidR="00CE642C" w:rsidRPr="00EB5812" w:rsidRDefault="00CE642C" w:rsidP="00EB5812">
      <w:pPr>
        <w:pStyle w:val="Default"/>
        <w:tabs>
          <w:tab w:val="left" w:pos="360"/>
          <w:tab w:val="left" w:pos="720"/>
        </w:tabs>
        <w:jc w:val="both"/>
        <w:rPr>
          <w:lang w:val="en-US" w:eastAsia="en-US"/>
        </w:rPr>
      </w:pPr>
    </w:p>
    <w:p w:rsidR="001474B0" w:rsidRPr="00EB5812" w:rsidRDefault="00CE642C" w:rsidP="001474B0">
      <w:pPr>
        <w:pStyle w:val="Default"/>
        <w:numPr>
          <w:ilvl w:val="0"/>
          <w:numId w:val="10"/>
        </w:numPr>
        <w:tabs>
          <w:tab w:val="left" w:pos="360"/>
          <w:tab w:val="left" w:pos="720"/>
        </w:tabs>
        <w:ind w:left="360"/>
        <w:jc w:val="both"/>
        <w:rPr>
          <w:i/>
          <w:lang w:val="en-US" w:eastAsia="en-US"/>
        </w:rPr>
      </w:pPr>
      <w:r w:rsidRPr="00EB5812">
        <w:rPr>
          <w:lang w:val="en-US" w:eastAsia="en-US"/>
        </w:rPr>
        <w:t xml:space="preserve">For these reasons, according to the SRSG, any complaint </w:t>
      </w:r>
      <w:r w:rsidR="00B773DF" w:rsidRPr="00EB5812">
        <w:rPr>
          <w:bCs/>
        </w:rPr>
        <w:t>concerning the alleged violation of Arti</w:t>
      </w:r>
      <w:r w:rsidRPr="00EB5812">
        <w:rPr>
          <w:bCs/>
        </w:rPr>
        <w:t>cle 2, procedural limb, is unfo</w:t>
      </w:r>
      <w:r w:rsidR="00B773DF" w:rsidRPr="00EB5812">
        <w:rPr>
          <w:bCs/>
        </w:rPr>
        <w:t xml:space="preserve">unded. </w:t>
      </w:r>
    </w:p>
    <w:p w:rsidR="001474B0" w:rsidRPr="001474B0" w:rsidRDefault="001474B0" w:rsidP="001474B0">
      <w:pPr>
        <w:pStyle w:val="Default"/>
        <w:tabs>
          <w:tab w:val="left" w:pos="360"/>
          <w:tab w:val="left" w:pos="720"/>
        </w:tabs>
        <w:jc w:val="both"/>
        <w:rPr>
          <w:i/>
          <w:lang w:val="en-US" w:eastAsia="en-US"/>
        </w:rPr>
      </w:pPr>
    </w:p>
    <w:p w:rsidR="001474B0" w:rsidRPr="00513A63" w:rsidRDefault="001474B0" w:rsidP="001474B0">
      <w:pPr>
        <w:jc w:val="both"/>
        <w:rPr>
          <w:b/>
          <w:color w:val="000000"/>
          <w:lang w:val="en-US" w:eastAsia="en-US"/>
        </w:rPr>
      </w:pPr>
      <w:r w:rsidRPr="00513A63">
        <w:rPr>
          <w:b/>
          <w:color w:val="000000"/>
          <w:lang w:val="en-US" w:eastAsia="en-US"/>
        </w:rPr>
        <w:t>The Panel’s assessment</w:t>
      </w:r>
    </w:p>
    <w:p w:rsidR="001474B0" w:rsidRDefault="001474B0" w:rsidP="001474B0">
      <w:pPr>
        <w:pStyle w:val="ListParagraph"/>
        <w:rPr>
          <w:bCs/>
        </w:rPr>
      </w:pPr>
    </w:p>
    <w:p w:rsidR="001474B0" w:rsidRPr="001474B0" w:rsidRDefault="001474B0" w:rsidP="001474B0">
      <w:pPr>
        <w:pStyle w:val="Default"/>
        <w:numPr>
          <w:ilvl w:val="0"/>
          <w:numId w:val="10"/>
        </w:numPr>
        <w:tabs>
          <w:tab w:val="left" w:pos="360"/>
          <w:tab w:val="left" w:pos="720"/>
        </w:tabs>
        <w:ind w:left="360"/>
        <w:jc w:val="both"/>
        <w:rPr>
          <w:i/>
          <w:lang w:val="en-US" w:eastAsia="en-US"/>
        </w:rPr>
      </w:pPr>
      <w:r w:rsidRPr="001474B0">
        <w:rPr>
          <w:bCs/>
          <w:lang w:val="en-GB"/>
        </w:rPr>
        <w:t>The Panel considers that the complainant invokes a violation of the procedural obligation stemming from the right to life, guar</w:t>
      </w:r>
      <w:r>
        <w:rPr>
          <w:bCs/>
          <w:lang w:val="en-GB"/>
        </w:rPr>
        <w:t>anteed by Article 2 of the ECHR</w:t>
      </w:r>
      <w:r w:rsidRPr="001474B0">
        <w:rPr>
          <w:bCs/>
          <w:lang w:val="en-GB"/>
        </w:rPr>
        <w:t xml:space="preserve"> in that </w:t>
      </w:r>
      <w:r w:rsidRPr="001474B0">
        <w:rPr>
          <w:bCs/>
        </w:rPr>
        <w:t xml:space="preserve">UNMIK Police did not conduct an </w:t>
      </w:r>
      <w:r>
        <w:rPr>
          <w:bCs/>
        </w:rPr>
        <w:t>effective investigation into her</w:t>
      </w:r>
      <w:r w:rsidR="0054783A">
        <w:rPr>
          <w:bCs/>
        </w:rPr>
        <w:t xml:space="preserve"> brother</w:t>
      </w:r>
      <w:r>
        <w:rPr>
          <w:bCs/>
        </w:rPr>
        <w:t>’</w:t>
      </w:r>
      <w:r w:rsidRPr="001474B0">
        <w:rPr>
          <w:bCs/>
        </w:rPr>
        <w:t xml:space="preserve">s </w:t>
      </w:r>
      <w:r>
        <w:rPr>
          <w:bCs/>
        </w:rPr>
        <w:t xml:space="preserve">abduction and </w:t>
      </w:r>
      <w:r w:rsidR="00513A63">
        <w:rPr>
          <w:bCs/>
        </w:rPr>
        <w:t>death</w:t>
      </w:r>
      <w:r w:rsidRPr="00A5537A">
        <w:rPr>
          <w:lang w:val="en-GB"/>
        </w:rPr>
        <w:t>.</w:t>
      </w:r>
    </w:p>
    <w:p w:rsidR="00AC5180" w:rsidRPr="009574FB" w:rsidRDefault="00AC5180" w:rsidP="00AC5180">
      <w:pPr>
        <w:jc w:val="both"/>
        <w:rPr>
          <w:color w:val="000000"/>
          <w:lang w:val="en-US" w:eastAsia="en-US"/>
        </w:rPr>
      </w:pPr>
    </w:p>
    <w:p w:rsidR="00AC5180" w:rsidRPr="00294BA4" w:rsidRDefault="00AC5180" w:rsidP="00183BF4">
      <w:pPr>
        <w:pStyle w:val="ListParagraph"/>
        <w:numPr>
          <w:ilvl w:val="0"/>
          <w:numId w:val="8"/>
        </w:numPr>
        <w:ind w:left="360"/>
        <w:jc w:val="both"/>
        <w:rPr>
          <w:i/>
          <w:color w:val="000000"/>
          <w:lang w:val="en-US" w:eastAsia="en-US"/>
        </w:rPr>
      </w:pPr>
      <w:r w:rsidRPr="00294BA4">
        <w:rPr>
          <w:i/>
          <w:color w:val="000000"/>
          <w:lang w:val="en-US" w:eastAsia="en-US"/>
        </w:rPr>
        <w:t>Submission of relevant files</w:t>
      </w:r>
    </w:p>
    <w:p w:rsidR="00AC5180" w:rsidRPr="00AC5180" w:rsidRDefault="00AC5180" w:rsidP="00AC5180">
      <w:pPr>
        <w:jc w:val="both"/>
        <w:rPr>
          <w:color w:val="000000"/>
          <w:lang w:val="en-US" w:eastAsia="en-US"/>
        </w:rPr>
      </w:pPr>
    </w:p>
    <w:p w:rsidR="00846656" w:rsidRPr="00513A63" w:rsidRDefault="00A06BA7" w:rsidP="00183BF4">
      <w:pPr>
        <w:pStyle w:val="Default"/>
        <w:numPr>
          <w:ilvl w:val="0"/>
          <w:numId w:val="10"/>
        </w:numPr>
        <w:tabs>
          <w:tab w:val="left" w:pos="360"/>
          <w:tab w:val="left" w:pos="720"/>
        </w:tabs>
        <w:ind w:left="360"/>
        <w:jc w:val="both"/>
      </w:pPr>
      <w:r w:rsidRPr="00513A63">
        <w:t xml:space="preserve">In substance, the SRSG observes that the case </w:t>
      </w:r>
      <w:r w:rsidR="00846656" w:rsidRPr="00513A63">
        <w:t xml:space="preserve">file submitted to the Panel concerning the investigation </w:t>
      </w:r>
      <w:r w:rsidR="00846656" w:rsidRPr="00513A63">
        <w:rPr>
          <w:lang w:val="en-US" w:eastAsia="en-US"/>
        </w:rPr>
        <w:t>into</w:t>
      </w:r>
      <w:r w:rsidR="00846656" w:rsidRPr="00513A63">
        <w:t xml:space="preserve"> the case of </w:t>
      </w:r>
      <w:r w:rsidRPr="00513A63">
        <w:t>Dušan Bogićević</w:t>
      </w:r>
      <w:r w:rsidR="009111A5" w:rsidRPr="00513A63">
        <w:t>, and in particular the investigative actions undertaken between 2001 and 2006,</w:t>
      </w:r>
      <w:r w:rsidRPr="00513A63">
        <w:t xml:space="preserve"> </w:t>
      </w:r>
      <w:r w:rsidR="00846656" w:rsidRPr="00513A63">
        <w:t xml:space="preserve">could be incomplete. </w:t>
      </w:r>
    </w:p>
    <w:p w:rsidR="00846656" w:rsidRPr="0055507B" w:rsidRDefault="00846656" w:rsidP="00846656">
      <w:pPr>
        <w:suppressAutoHyphens/>
        <w:ind w:left="360"/>
        <w:jc w:val="both"/>
      </w:pPr>
    </w:p>
    <w:p w:rsidR="00513A63" w:rsidRDefault="00846656" w:rsidP="00513A63">
      <w:pPr>
        <w:pStyle w:val="Default"/>
        <w:numPr>
          <w:ilvl w:val="0"/>
          <w:numId w:val="10"/>
        </w:numPr>
        <w:tabs>
          <w:tab w:val="left" w:pos="360"/>
          <w:tab w:val="left" w:pos="720"/>
        </w:tabs>
        <w:ind w:left="360"/>
        <w:jc w:val="both"/>
      </w:pPr>
      <w:r w:rsidRPr="0055507B">
        <w:t>The Panel notes that Section 15 of UNMIK Regulation No. 2006/12 states that the Panel may request the submission from UNMIK of any documents and that the SRSG shall cooperate with the Panel and provide the necessary assistance including, i</w:t>
      </w:r>
      <w:r w:rsidRPr="003E4FDB">
        <w:t>n</w:t>
      </w:r>
      <w:r w:rsidRPr="0055507B">
        <w:t xml:space="preserve">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5507B">
        <w:rPr>
          <w:i/>
        </w:rPr>
        <w:t>Çelikbilek v. Turkey</w:t>
      </w:r>
      <w:r w:rsidRPr="0055507B">
        <w:t xml:space="preserve">, </w:t>
      </w:r>
      <w:r w:rsidRPr="0055507B">
        <w:rPr>
          <w:lang w:val="en-US" w:eastAsia="nl-BE"/>
        </w:rPr>
        <w:t>no. 27693/95, judgment of 31 May 2005</w:t>
      </w:r>
      <w:r w:rsidRPr="0055507B">
        <w:rPr>
          <w:i/>
          <w:iCs/>
          <w:lang w:val="en-US" w:eastAsia="nl-BE"/>
        </w:rPr>
        <w:t>,</w:t>
      </w:r>
      <w:r w:rsidRPr="0055507B">
        <w:rPr>
          <w:iCs/>
          <w:lang w:val="en-US" w:eastAsia="nl-BE"/>
        </w:rPr>
        <w:t xml:space="preserve"> § 56).</w:t>
      </w:r>
      <w:r w:rsidRPr="0055507B">
        <w:rPr>
          <w:rFonts w:ascii="Helv" w:hAnsi="Helv" w:cs="Helv"/>
          <w:sz w:val="20"/>
          <w:szCs w:val="20"/>
          <w:lang w:val="en-US" w:eastAsia="nl-BE"/>
        </w:rPr>
        <w:t xml:space="preserve"> </w:t>
      </w:r>
    </w:p>
    <w:p w:rsidR="00513A63" w:rsidRDefault="00513A63" w:rsidP="00513A63">
      <w:pPr>
        <w:pStyle w:val="ListParagraph"/>
      </w:pPr>
    </w:p>
    <w:p w:rsidR="00513A63" w:rsidRDefault="00846656" w:rsidP="00513A63">
      <w:pPr>
        <w:pStyle w:val="Default"/>
        <w:numPr>
          <w:ilvl w:val="0"/>
          <w:numId w:val="10"/>
        </w:numPr>
        <w:tabs>
          <w:tab w:val="left" w:pos="360"/>
          <w:tab w:val="left" w:pos="720"/>
        </w:tabs>
        <w:ind w:left="360"/>
        <w:jc w:val="both"/>
      </w:pPr>
      <w:r w:rsidRPr="0010044A">
        <w:t xml:space="preserve">The Panel notes that UNMIK was requested on at least </w:t>
      </w:r>
      <w:r w:rsidR="00A06BA7" w:rsidRPr="002B48B1">
        <w:t>three</w:t>
      </w:r>
      <w:r w:rsidRPr="0010044A">
        <w:t xml:space="preserve"> occasions to submit relevant documents in relation to the case. In response to the latest request from the Panel, on </w:t>
      </w:r>
      <w:r w:rsidR="00523F81" w:rsidRPr="00513A63">
        <w:rPr>
          <w:lang w:val="en-GB"/>
        </w:rPr>
        <w:t xml:space="preserve">25 February </w:t>
      </w:r>
      <w:r w:rsidR="0010044A" w:rsidRPr="0010044A">
        <w:t>2013</w:t>
      </w:r>
      <w:r w:rsidRPr="0010044A">
        <w:t>, UNMIK stated that the disclosure of files concerning the</w:t>
      </w:r>
      <w:r w:rsidR="00FF4FFA" w:rsidRPr="0010044A">
        <w:t xml:space="preserve"> case could be considered final</w:t>
      </w:r>
      <w:r w:rsidR="0010044A" w:rsidRPr="0010044A">
        <w:t xml:space="preserve">. </w:t>
      </w:r>
    </w:p>
    <w:p w:rsidR="00513A63" w:rsidRDefault="00513A63" w:rsidP="00513A63">
      <w:pPr>
        <w:pStyle w:val="ListParagraph"/>
      </w:pPr>
    </w:p>
    <w:p w:rsidR="00513A63" w:rsidRDefault="00846656" w:rsidP="00513A63">
      <w:pPr>
        <w:pStyle w:val="Default"/>
        <w:numPr>
          <w:ilvl w:val="0"/>
          <w:numId w:val="10"/>
        </w:numPr>
        <w:tabs>
          <w:tab w:val="left" w:pos="360"/>
          <w:tab w:val="left" w:pos="720"/>
        </w:tabs>
        <w:ind w:left="360"/>
        <w:jc w:val="both"/>
      </w:pPr>
      <w:r w:rsidRPr="0055507B">
        <w:t xml:space="preserve">The Panel notes that the proper maintenance of investigative files concerning crimes such as killings and disappearances, from the opening of the investigation to their handing over, is crucial to the continuation of such investigations and could thus raise </w:t>
      </w:r>
      <w:r w:rsidRPr="00513A63">
        <w:rPr>
          <w:i/>
        </w:rPr>
        <w:t>per se</w:t>
      </w:r>
      <w:r w:rsidRPr="0055507B">
        <w:t xml:space="preserve"> issues under Article 2. The Panel also notes that UNMIK has not provided any explanation as to why the documentation may be incomplete,</w:t>
      </w:r>
      <w:r w:rsidR="00D20889">
        <w:t xml:space="preserve"> nor with respect to which part</w:t>
      </w:r>
      <w:r w:rsidRPr="0055507B">
        <w:t xml:space="preserve">. </w:t>
      </w:r>
    </w:p>
    <w:p w:rsidR="00513A63" w:rsidRDefault="00513A63" w:rsidP="00513A63">
      <w:pPr>
        <w:pStyle w:val="ListParagraph"/>
      </w:pPr>
    </w:p>
    <w:p w:rsidR="00AC5180" w:rsidRPr="00FF4FFA" w:rsidRDefault="00846656" w:rsidP="00513A63">
      <w:pPr>
        <w:pStyle w:val="Default"/>
        <w:numPr>
          <w:ilvl w:val="0"/>
          <w:numId w:val="10"/>
        </w:numPr>
        <w:tabs>
          <w:tab w:val="left" w:pos="360"/>
          <w:tab w:val="left" w:pos="720"/>
        </w:tabs>
        <w:ind w:left="360"/>
        <w:jc w:val="both"/>
      </w:pPr>
      <w:r w:rsidRPr="0055507B">
        <w:t xml:space="preserve">The Panel itself is not in the position to verify the completeness of the investigative files received. The Panel will therefore assess the merits of the complaint on the basis of documents made available (in this sense, see ECtHR, </w:t>
      </w:r>
      <w:r w:rsidRPr="00513A63">
        <w:rPr>
          <w:i/>
        </w:rPr>
        <w:t>Tsechoyev v. Russia</w:t>
      </w:r>
      <w:r w:rsidRPr="0055507B">
        <w:t>, no. 39358/05, judgment of</w:t>
      </w:r>
      <w:r w:rsidRPr="00513A63">
        <w:rPr>
          <w:i/>
        </w:rPr>
        <w:t xml:space="preserve"> </w:t>
      </w:r>
      <w:r w:rsidRPr="0055507B">
        <w:t xml:space="preserve">15 March 2011, § 146). </w:t>
      </w:r>
    </w:p>
    <w:p w:rsidR="00AC5180" w:rsidRDefault="00AC5180" w:rsidP="00AC5180">
      <w:pPr>
        <w:pStyle w:val="ListParagraph"/>
        <w:ind w:left="360"/>
        <w:jc w:val="both"/>
        <w:rPr>
          <w:i/>
          <w:color w:val="000000"/>
          <w:lang w:val="en-US" w:eastAsia="en-US"/>
        </w:rPr>
      </w:pPr>
    </w:p>
    <w:p w:rsidR="00AC5180" w:rsidRPr="00AC5180" w:rsidRDefault="00AC5180" w:rsidP="00183BF4">
      <w:pPr>
        <w:pStyle w:val="ListParagraph"/>
        <w:numPr>
          <w:ilvl w:val="0"/>
          <w:numId w:val="8"/>
        </w:numPr>
        <w:ind w:left="360"/>
        <w:jc w:val="both"/>
        <w:rPr>
          <w:i/>
          <w:color w:val="000000"/>
          <w:lang w:val="en-US" w:eastAsia="en-US"/>
        </w:rPr>
      </w:pPr>
      <w:r w:rsidRPr="00AC5180">
        <w:rPr>
          <w:i/>
          <w:color w:val="000000"/>
          <w:lang w:val="en-US" w:eastAsia="en-US"/>
        </w:rPr>
        <w:t>General principles concerning the obligation to conduct an effective investigation under Article 2</w:t>
      </w:r>
    </w:p>
    <w:p w:rsidR="00E632B7" w:rsidRPr="00E632B7" w:rsidRDefault="00E632B7" w:rsidP="00C5345A">
      <w:pPr>
        <w:pStyle w:val="Default"/>
        <w:tabs>
          <w:tab w:val="left" w:pos="450"/>
          <w:tab w:val="left" w:pos="540"/>
          <w:tab w:val="left" w:pos="720"/>
        </w:tabs>
        <w:jc w:val="both"/>
        <w:rPr>
          <w:highlight w:val="yellow"/>
          <w:lang w:val="en-US" w:eastAsia="en-US"/>
        </w:rPr>
      </w:pPr>
    </w:p>
    <w:p w:rsidR="00E632B7" w:rsidRPr="00E632B7" w:rsidRDefault="0054783A" w:rsidP="00183BF4">
      <w:pPr>
        <w:pStyle w:val="Default"/>
        <w:numPr>
          <w:ilvl w:val="0"/>
          <w:numId w:val="10"/>
        </w:numPr>
        <w:tabs>
          <w:tab w:val="left" w:pos="450"/>
          <w:tab w:val="left" w:pos="540"/>
          <w:tab w:val="left" w:pos="720"/>
        </w:tabs>
        <w:ind w:hanging="450"/>
        <w:jc w:val="both"/>
        <w:rPr>
          <w:lang w:val="en-US" w:eastAsia="en-US"/>
        </w:rPr>
      </w:pPr>
      <w:r>
        <w:rPr>
          <w:lang w:val="en-US" w:eastAsia="en-US"/>
        </w:rPr>
        <w:t>T</w:t>
      </w:r>
      <w:r w:rsidR="00E632B7" w:rsidRPr="00E632B7">
        <w:rPr>
          <w:lang w:val="en-US" w:eastAsia="en-US"/>
        </w:rPr>
        <w:t xml:space="preserve">he Panel notes that the positive obligation to investigate disappearances is widely accepted in international human rights law since at least the case of the Inter-American Court of Human Rights (IACtHR) </w:t>
      </w:r>
      <w:r w:rsidR="00E632B7" w:rsidRPr="00E632B7">
        <w:rPr>
          <w:i/>
          <w:lang w:val="en-US" w:eastAsia="en-US"/>
        </w:rPr>
        <w:t>Velásquez-Rodríguez</w:t>
      </w:r>
      <w:r w:rsidR="00E632B7" w:rsidRPr="00E632B7">
        <w:rPr>
          <w:lang w:val="en-US" w:eastAsia="en-US"/>
        </w:rPr>
        <w:t xml:space="preserve"> (see IACtHR, </w:t>
      </w:r>
      <w:r w:rsidR="00E632B7" w:rsidRPr="00E632B7">
        <w:rPr>
          <w:i/>
          <w:lang w:val="en-US" w:eastAsia="en-US"/>
        </w:rPr>
        <w:t>Velásquez-Rodríguez v. Honduras</w:t>
      </w:r>
      <w:r w:rsidR="00E632B7" w:rsidRPr="00E632B7">
        <w:rPr>
          <w:lang w:val="en-US" w:eastAsia="en-US"/>
        </w:rPr>
        <w:t xml:space="preserve">, judgment of 29 July 1988, Series C No. 4). The positive obligation has also been stated by the </w:t>
      </w:r>
      <w:r w:rsidR="00B54F6C">
        <w:rPr>
          <w:lang w:val="en-US" w:eastAsia="en-US"/>
        </w:rPr>
        <w:t>United Nations Human Rights Committee (</w:t>
      </w:r>
      <w:r w:rsidR="00E632B7" w:rsidRPr="00E632B7">
        <w:rPr>
          <w:lang w:val="en-US" w:eastAsia="en-US"/>
        </w:rPr>
        <w:t>HRC</w:t>
      </w:r>
      <w:r w:rsidR="00B54F6C">
        <w:rPr>
          <w:lang w:val="en-US" w:eastAsia="en-US"/>
        </w:rPr>
        <w:t>)</w:t>
      </w:r>
      <w:r w:rsidR="00E632B7" w:rsidRPr="00E632B7">
        <w:rPr>
          <w:lang w:val="en-US" w:eastAsia="en-US"/>
        </w:rPr>
        <w:t xml:space="preserve"> as stemming from Article 6 (right to life), Article 7 (prohibition of cruel and inhuman treatment) and Article 9 (right to liberty and security of person), read in conjunction with Article 2(3) (right to an effective remedy) of the ICCPR (see HRC, General Comment No. 6, 30 April 1982, § 4; HRC, General Comment No. 31, 26 May 2004, §§ 8 and 18, CCPR/C/21/Rev.1/Add. 13; see also, among others, HRC, </w:t>
      </w:r>
      <w:r w:rsidR="00E632B7" w:rsidRPr="00E632B7">
        <w:rPr>
          <w:i/>
          <w:lang w:val="en-US" w:eastAsia="en-US"/>
        </w:rPr>
        <w:t>Mohamed El Awani, v. Libyan Arab Jamahiriya</w:t>
      </w:r>
      <w:r w:rsidR="00E632B7" w:rsidRPr="00E632B7">
        <w:rPr>
          <w:lang w:val="en-US" w:eastAsia="en-US"/>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  </w:t>
      </w:r>
    </w:p>
    <w:p w:rsidR="00314A8F" w:rsidRPr="00E632B7" w:rsidRDefault="00314A8F" w:rsidP="00E632B7">
      <w:pPr>
        <w:pStyle w:val="Default"/>
        <w:tabs>
          <w:tab w:val="left" w:pos="450"/>
          <w:tab w:val="left" w:pos="540"/>
          <w:tab w:val="left" w:pos="720"/>
        </w:tabs>
        <w:ind w:left="360"/>
        <w:jc w:val="both"/>
        <w:rPr>
          <w:lang w:val="en-US" w:eastAsia="en-US"/>
        </w:rPr>
      </w:pPr>
    </w:p>
    <w:p w:rsidR="00314A8F" w:rsidRPr="0055507B" w:rsidRDefault="00314A8F" w:rsidP="00183BF4">
      <w:pPr>
        <w:pStyle w:val="Default"/>
        <w:numPr>
          <w:ilvl w:val="0"/>
          <w:numId w:val="10"/>
        </w:numPr>
        <w:tabs>
          <w:tab w:val="left" w:pos="450"/>
          <w:tab w:val="left" w:pos="540"/>
          <w:tab w:val="left" w:pos="720"/>
        </w:tabs>
        <w:ind w:hanging="450"/>
        <w:jc w:val="both"/>
        <w:rPr>
          <w:lang w:val="en-US" w:eastAsia="en-US"/>
        </w:rPr>
      </w:pPr>
      <w:r w:rsidRPr="0055507B">
        <w:rPr>
          <w:lang w:val="en-US" w:eastAsia="en-US"/>
        </w:rPr>
        <w:t>In order to address the complainant’s allegations, the Panel refe</w:t>
      </w:r>
      <w:r w:rsidR="00B54F6C">
        <w:rPr>
          <w:lang w:val="en-US" w:eastAsia="en-US"/>
        </w:rPr>
        <w:t>rs to the well-established case-</w:t>
      </w:r>
      <w:r w:rsidRPr="0055507B">
        <w:rPr>
          <w:lang w:val="en-US" w:eastAsia="en-US"/>
        </w:rPr>
        <w:t xml:space="preserv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55507B">
        <w:rPr>
          <w:i/>
          <w:lang w:val="en-US" w:eastAsia="en-US"/>
        </w:rPr>
        <w:t>mutatis mutandis</w:t>
      </w:r>
      <w:r w:rsidRPr="0055507B">
        <w:rPr>
          <w:lang w:val="en-US" w:eastAsia="en-US"/>
        </w:rPr>
        <w:t xml:space="preserve">, ECtHR, </w:t>
      </w:r>
      <w:r w:rsidRPr="0055507B">
        <w:rPr>
          <w:i/>
          <w:lang w:val="en-US" w:eastAsia="en-US"/>
        </w:rPr>
        <w:t>McCann and Others v. the United Kingdom</w:t>
      </w:r>
      <w:r w:rsidRPr="0055507B">
        <w:rPr>
          <w:lang w:val="en-US" w:eastAsia="en-US"/>
        </w:rPr>
        <w:t xml:space="preserve">, judgment of 27 September 1995, § 161, Series A no. 324; and </w:t>
      </w:r>
      <w:r w:rsidRPr="0055507B">
        <w:rPr>
          <w:i/>
          <w:lang w:val="en-US" w:eastAsia="en-US"/>
        </w:rPr>
        <w:t>Kaya v. Turkey</w:t>
      </w:r>
      <w:r w:rsidRPr="0055507B">
        <w:rPr>
          <w:lang w:val="en-US" w:eastAsia="en-US"/>
        </w:rPr>
        <w:t xml:space="preserve">, judgment of 19 February 1998, § 105, Reports 1998-I; see also ECtHR, </w:t>
      </w:r>
      <w:r w:rsidRPr="0055507B">
        <w:rPr>
          <w:i/>
          <w:lang w:val="en-US" w:eastAsia="en-US"/>
        </w:rPr>
        <w:t>Jasinskis v. Latvia</w:t>
      </w:r>
      <w:r w:rsidRPr="0055507B">
        <w:rPr>
          <w:lang w:val="en-US" w:eastAsia="en-US"/>
        </w:rPr>
        <w:t xml:space="preserve">, no. 45744/08, judgment of 21 December 2010, § 71). The duty to conduct such an investigation arises in all cases of killing and other suspicious death, whether the perpetrators were private persons or State agents or are unknown (see ECtHR, </w:t>
      </w:r>
      <w:r w:rsidRPr="0055507B">
        <w:rPr>
          <w:i/>
          <w:lang w:val="en-US" w:eastAsia="en-US"/>
        </w:rPr>
        <w:t>Kolevi v. Bulgaria</w:t>
      </w:r>
      <w:r w:rsidRPr="0055507B">
        <w:rPr>
          <w:lang w:val="en-US" w:eastAsia="en-US"/>
        </w:rPr>
        <w:t>, no. 1108/02, judgment of 5 November 2009, § 191).</w:t>
      </w:r>
    </w:p>
    <w:p w:rsidR="00314A8F" w:rsidRPr="0055507B" w:rsidRDefault="00314A8F" w:rsidP="00314A8F">
      <w:pPr>
        <w:jc w:val="both"/>
        <w:rPr>
          <w:color w:val="000000"/>
          <w:lang w:val="en-US" w:eastAsia="en-US"/>
        </w:rPr>
      </w:pPr>
    </w:p>
    <w:p w:rsidR="00314A8F" w:rsidRPr="00513A63" w:rsidRDefault="00314A8F" w:rsidP="00183BF4">
      <w:pPr>
        <w:pStyle w:val="Default"/>
        <w:numPr>
          <w:ilvl w:val="0"/>
          <w:numId w:val="10"/>
        </w:numPr>
        <w:tabs>
          <w:tab w:val="left" w:pos="450"/>
          <w:tab w:val="left" w:pos="540"/>
          <w:tab w:val="left" w:pos="720"/>
        </w:tabs>
        <w:ind w:hanging="450"/>
        <w:jc w:val="both"/>
        <w:rPr>
          <w:lang w:val="en-US" w:eastAsia="en-US"/>
        </w:rPr>
      </w:pPr>
      <w:r w:rsidRPr="0055507B">
        <w:rPr>
          <w:lang w:val="en-US" w:eastAsia="en-US"/>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w:t>
      </w:r>
      <w:r w:rsidR="00D026ED">
        <w:rPr>
          <w:lang w:val="en-US" w:eastAsia="en-US"/>
        </w:rPr>
        <w:t xml:space="preserve">State (see </w:t>
      </w:r>
      <w:r w:rsidR="00D026ED" w:rsidRPr="00C5345A">
        <w:rPr>
          <w:lang w:val="en-US" w:eastAsia="en-US"/>
        </w:rPr>
        <w:t>ECtHR [GC]</w:t>
      </w:r>
      <w:r w:rsidRPr="00C5345A">
        <w:rPr>
          <w:lang w:val="en-US" w:eastAsia="en-US"/>
        </w:rPr>
        <w:t xml:space="preserve">, </w:t>
      </w:r>
      <w:r w:rsidRPr="00513A63">
        <w:rPr>
          <w:i/>
          <w:lang w:val="en-US" w:eastAsia="en-US"/>
        </w:rPr>
        <w:t>Varnava and Others v. Turkey</w:t>
      </w:r>
      <w:r w:rsidRPr="00513A63">
        <w:rPr>
          <w:lang w:val="en-US" w:eastAsia="en-US"/>
        </w:rPr>
        <w:t>,</w:t>
      </w:r>
      <w:r w:rsidRPr="00513A63">
        <w:t xml:space="preserve"> </w:t>
      </w:r>
      <w:r w:rsidRPr="00513A63">
        <w:rPr>
          <w:lang w:val="en-US" w:eastAsia="en-US"/>
        </w:rPr>
        <w:t xml:space="preserve">cited in § </w:t>
      </w:r>
      <w:r w:rsidR="008E6A5C" w:rsidRPr="00513A63">
        <w:rPr>
          <w:lang w:val="en-US" w:eastAsia="en-US"/>
        </w:rPr>
        <w:t>43</w:t>
      </w:r>
      <w:r w:rsidRPr="00513A63">
        <w:rPr>
          <w:lang w:val="en-US" w:eastAsia="en-US"/>
        </w:rPr>
        <w:t xml:space="preserve"> above,</w:t>
      </w:r>
      <w:r w:rsidR="00D026ED" w:rsidRPr="00513A63">
        <w:rPr>
          <w:lang w:val="en-US" w:eastAsia="en-US"/>
        </w:rPr>
        <w:t xml:space="preserve"> at</w:t>
      </w:r>
      <w:r w:rsidRPr="00513A63">
        <w:rPr>
          <w:lang w:val="en-US" w:eastAsia="en-US"/>
        </w:rPr>
        <w:t xml:space="preserve"> § 136).</w:t>
      </w:r>
    </w:p>
    <w:p w:rsidR="00314A8F" w:rsidRPr="00513A63" w:rsidRDefault="00314A8F" w:rsidP="00314A8F">
      <w:pPr>
        <w:rPr>
          <w:color w:val="000000"/>
          <w:lang w:val="en-US" w:eastAsia="en-US"/>
        </w:rPr>
      </w:pPr>
    </w:p>
    <w:p w:rsidR="00314A8F" w:rsidRPr="00513A63" w:rsidRDefault="00314A8F" w:rsidP="00183BF4">
      <w:pPr>
        <w:pStyle w:val="Default"/>
        <w:numPr>
          <w:ilvl w:val="0"/>
          <w:numId w:val="10"/>
        </w:numPr>
        <w:tabs>
          <w:tab w:val="left" w:pos="450"/>
          <w:tab w:val="left" w:pos="540"/>
          <w:tab w:val="left" w:pos="720"/>
        </w:tabs>
        <w:ind w:hanging="450"/>
        <w:jc w:val="both"/>
        <w:rPr>
          <w:lang w:val="en-US" w:eastAsia="en-US"/>
        </w:rPr>
      </w:pPr>
      <w:r w:rsidRPr="00513A63">
        <w:rPr>
          <w:lang w:val="en-US" w:eastAsia="en-US"/>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513A63">
        <w:rPr>
          <w:i/>
          <w:lang w:val="en-US" w:eastAsia="en-US"/>
        </w:rPr>
        <w:t>Ahmet Özkan and Others v. Turkey</w:t>
      </w:r>
      <w:r w:rsidRPr="00513A63">
        <w:rPr>
          <w:lang w:val="en-US" w:eastAsia="en-US"/>
        </w:rPr>
        <w:t xml:space="preserve">, no. 21689/93, judgment of 6 April 2004, § 310, see also ECtHR, </w:t>
      </w:r>
      <w:r w:rsidRPr="00513A63">
        <w:rPr>
          <w:i/>
          <w:lang w:val="en-US" w:eastAsia="en-US"/>
        </w:rPr>
        <w:t>Isayeva v. Russia</w:t>
      </w:r>
      <w:r w:rsidRPr="00513A63">
        <w:rPr>
          <w:lang w:val="en-US" w:eastAsia="en-US"/>
        </w:rPr>
        <w:t xml:space="preserve">, no. 57950/00, judgment of 24 February 2005, § 210). </w:t>
      </w:r>
    </w:p>
    <w:p w:rsidR="00314A8F" w:rsidRPr="00513A63" w:rsidRDefault="00314A8F" w:rsidP="00314A8F">
      <w:pPr>
        <w:pStyle w:val="ListParagraph"/>
        <w:rPr>
          <w:color w:val="000000"/>
          <w:lang w:val="en-US" w:eastAsia="en-US"/>
        </w:rPr>
      </w:pPr>
    </w:p>
    <w:p w:rsidR="00314A8F" w:rsidRPr="00513A63" w:rsidRDefault="00314A8F" w:rsidP="00183BF4">
      <w:pPr>
        <w:pStyle w:val="Default"/>
        <w:numPr>
          <w:ilvl w:val="0"/>
          <w:numId w:val="10"/>
        </w:numPr>
        <w:tabs>
          <w:tab w:val="left" w:pos="450"/>
          <w:tab w:val="left" w:pos="540"/>
          <w:tab w:val="left" w:pos="720"/>
        </w:tabs>
        <w:ind w:hanging="450"/>
        <w:jc w:val="both"/>
        <w:rPr>
          <w:lang w:val="en-US" w:eastAsia="en-US"/>
        </w:rPr>
      </w:pPr>
      <w:r w:rsidRPr="00513A63">
        <w:rPr>
          <w:lang w:val="en-US" w:eastAsia="en-US"/>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w:t>
      </w:r>
      <w:r w:rsidR="00EA0BAC" w:rsidRPr="00513A63">
        <w:rPr>
          <w:lang w:val="en-US" w:eastAsia="en-US"/>
        </w:rPr>
        <w:t>”</w:t>
      </w:r>
      <w:r w:rsidRPr="00513A63">
        <w:rPr>
          <w:lang w:val="en-US" w:eastAsia="en-US"/>
        </w:rPr>
        <w:t xml:space="preserve"> (see ECtHR</w:t>
      </w:r>
      <w:r w:rsidR="00D026ED" w:rsidRPr="00513A63">
        <w:rPr>
          <w:lang w:val="en-US" w:eastAsia="en-US"/>
        </w:rPr>
        <w:t xml:space="preserve"> [GC]</w:t>
      </w:r>
      <w:r w:rsidRPr="00513A63">
        <w:rPr>
          <w:i/>
          <w:lang w:val="en-US" w:eastAsia="en-US"/>
        </w:rPr>
        <w:t>, Varnava and Others v. Turkey</w:t>
      </w:r>
      <w:r w:rsidRPr="00513A63">
        <w:rPr>
          <w:lang w:val="en-US" w:eastAsia="en-US"/>
        </w:rPr>
        <w:t>, cited</w:t>
      </w:r>
      <w:r w:rsidR="00DD65EE" w:rsidRPr="00513A63">
        <w:rPr>
          <w:lang w:val="en-US" w:eastAsia="en-US"/>
        </w:rPr>
        <w:t xml:space="preserve"> in </w:t>
      </w:r>
      <w:r w:rsidRPr="00513A63">
        <w:rPr>
          <w:lang w:val="en-US" w:eastAsia="en-US"/>
        </w:rPr>
        <w:t xml:space="preserve"> </w:t>
      </w:r>
      <w:r w:rsidR="00DD65EE" w:rsidRPr="00513A63">
        <w:rPr>
          <w:lang w:val="en-US" w:eastAsia="en-US"/>
        </w:rPr>
        <w:t xml:space="preserve">§ </w:t>
      </w:r>
      <w:r w:rsidR="008E6A5C" w:rsidRPr="00513A63">
        <w:rPr>
          <w:lang w:val="en-US" w:eastAsia="en-US"/>
        </w:rPr>
        <w:t>43</w:t>
      </w:r>
      <w:r w:rsidR="00DD65EE" w:rsidRPr="00513A63">
        <w:rPr>
          <w:lang w:val="en-US" w:eastAsia="en-US"/>
        </w:rPr>
        <w:t xml:space="preserve"> </w:t>
      </w:r>
      <w:r w:rsidRPr="00513A63">
        <w:rPr>
          <w:lang w:val="en-US" w:eastAsia="en-US"/>
        </w:rPr>
        <w:t>above</w:t>
      </w:r>
      <w:r w:rsidR="00DD65EE" w:rsidRPr="00513A63">
        <w:rPr>
          <w:lang w:val="en-US" w:eastAsia="en-US"/>
        </w:rPr>
        <w:t>, at</w:t>
      </w:r>
      <w:r w:rsidRPr="00513A63">
        <w:rPr>
          <w:lang w:val="en-US" w:eastAsia="en-US"/>
        </w:rPr>
        <w:t xml:space="preserve"> § 191; see also ECtHR, </w:t>
      </w:r>
      <w:r w:rsidRPr="00513A63">
        <w:rPr>
          <w:i/>
          <w:lang w:val="en-US" w:eastAsia="en-US"/>
        </w:rPr>
        <w:t>Palić v. Bosnia and Herzegovina</w:t>
      </w:r>
      <w:r w:rsidRPr="00513A63">
        <w:rPr>
          <w:lang w:val="en-US" w:eastAsia="en-US"/>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513A63">
        <w:rPr>
          <w:i/>
          <w:lang w:val="en-US" w:eastAsia="en-US"/>
        </w:rPr>
        <w:t>Ahmet Özkan and Others v.</w:t>
      </w:r>
      <w:r w:rsidRPr="00513A63">
        <w:t xml:space="preserve"> </w:t>
      </w:r>
      <w:r w:rsidRPr="00513A63">
        <w:rPr>
          <w:i/>
          <w:lang w:val="en-US" w:eastAsia="en-US"/>
        </w:rPr>
        <w:t>Turkey</w:t>
      </w:r>
      <w:r w:rsidRPr="00513A63">
        <w:rPr>
          <w:lang w:val="en-US" w:eastAsia="en-US"/>
        </w:rPr>
        <w:t xml:space="preserve">, cited </w:t>
      </w:r>
      <w:r w:rsidR="00D026ED" w:rsidRPr="00513A63">
        <w:rPr>
          <w:lang w:val="en-US" w:eastAsia="en-US"/>
        </w:rPr>
        <w:t xml:space="preserve">in </w:t>
      </w:r>
      <w:r w:rsidRPr="00513A63">
        <w:rPr>
          <w:lang w:val="en-US" w:eastAsia="en-US"/>
        </w:rPr>
        <w:t xml:space="preserve">§ </w:t>
      </w:r>
      <w:r w:rsidR="008E6A5C" w:rsidRPr="00513A63">
        <w:rPr>
          <w:lang w:val="en-US" w:eastAsia="en-US"/>
        </w:rPr>
        <w:t>65</w:t>
      </w:r>
      <w:r w:rsidRPr="00513A63">
        <w:rPr>
          <w:lang w:val="en-US" w:eastAsia="en-US"/>
        </w:rPr>
        <w:t xml:space="preserve"> above, </w:t>
      </w:r>
      <w:r w:rsidR="00D026ED" w:rsidRPr="00513A63">
        <w:rPr>
          <w:lang w:val="en-US" w:eastAsia="en-US"/>
        </w:rPr>
        <w:t xml:space="preserve">at </w:t>
      </w:r>
      <w:r w:rsidRPr="00513A63">
        <w:rPr>
          <w:lang w:val="en-US" w:eastAsia="en-US"/>
        </w:rPr>
        <w:t>§ 312, and</w:t>
      </w:r>
      <w:r w:rsidRPr="00513A63">
        <w:rPr>
          <w:i/>
          <w:lang w:val="en-US" w:eastAsia="en-US"/>
        </w:rPr>
        <w:t xml:space="preserve"> Isayeva v. Russia</w:t>
      </w:r>
      <w:r w:rsidRPr="00513A63">
        <w:rPr>
          <w:lang w:val="en-US" w:eastAsia="en-US"/>
        </w:rPr>
        <w:t xml:space="preserve">, cited </w:t>
      </w:r>
      <w:r w:rsidR="00D026ED" w:rsidRPr="00513A63">
        <w:rPr>
          <w:lang w:val="en-US" w:eastAsia="en-US"/>
        </w:rPr>
        <w:t xml:space="preserve">in </w:t>
      </w:r>
      <w:r w:rsidR="00552B59" w:rsidRPr="00513A63">
        <w:rPr>
          <w:lang w:val="en-US" w:eastAsia="en-US"/>
        </w:rPr>
        <w:t xml:space="preserve">§ </w:t>
      </w:r>
      <w:r w:rsidR="008E6A5C" w:rsidRPr="00513A63">
        <w:rPr>
          <w:lang w:val="en-US" w:eastAsia="en-US"/>
        </w:rPr>
        <w:t>65</w:t>
      </w:r>
      <w:r w:rsidR="00552B59" w:rsidRPr="00513A63">
        <w:rPr>
          <w:lang w:val="en-US" w:eastAsia="en-US"/>
        </w:rPr>
        <w:t xml:space="preserve"> above</w:t>
      </w:r>
      <w:r w:rsidRPr="00513A63">
        <w:rPr>
          <w:lang w:val="en-US" w:eastAsia="en-US"/>
        </w:rPr>
        <w:t>,</w:t>
      </w:r>
      <w:r w:rsidR="00D026ED" w:rsidRPr="00513A63">
        <w:rPr>
          <w:lang w:val="en-US" w:eastAsia="en-US"/>
        </w:rPr>
        <w:t xml:space="preserve"> at</w:t>
      </w:r>
      <w:r w:rsidRPr="00513A63">
        <w:rPr>
          <w:lang w:val="en-US" w:eastAsia="en-US"/>
        </w:rPr>
        <w:t xml:space="preserve"> § 212). </w:t>
      </w:r>
    </w:p>
    <w:p w:rsidR="00314A8F" w:rsidRPr="00513A63" w:rsidRDefault="00314A8F" w:rsidP="00314A8F">
      <w:pPr>
        <w:pStyle w:val="ListParagraph"/>
        <w:ind w:left="360"/>
        <w:jc w:val="both"/>
        <w:rPr>
          <w:color w:val="000000"/>
          <w:lang w:val="en-US" w:eastAsia="en-US"/>
        </w:rPr>
      </w:pPr>
    </w:p>
    <w:p w:rsidR="0025436E" w:rsidRPr="00513A63" w:rsidRDefault="00314A8F" w:rsidP="00183BF4">
      <w:pPr>
        <w:pStyle w:val="Default"/>
        <w:numPr>
          <w:ilvl w:val="0"/>
          <w:numId w:val="10"/>
        </w:numPr>
        <w:tabs>
          <w:tab w:val="left" w:pos="450"/>
          <w:tab w:val="left" w:pos="540"/>
          <w:tab w:val="left" w:pos="720"/>
        </w:tabs>
        <w:ind w:hanging="450"/>
        <w:jc w:val="both"/>
        <w:rPr>
          <w:lang w:val="en-US" w:eastAsia="en-US"/>
        </w:rPr>
      </w:pPr>
      <w:r w:rsidRPr="00513A63">
        <w:rPr>
          <w:lang w:val="en-US" w:eastAsia="en-US"/>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513A63">
        <w:rPr>
          <w:i/>
          <w:lang w:val="en-US" w:eastAsia="en-US"/>
        </w:rPr>
        <w:t>Kolevi v. Bulgaria</w:t>
      </w:r>
      <w:r w:rsidRPr="00513A63">
        <w:rPr>
          <w:lang w:val="en-US" w:eastAsia="en-US"/>
        </w:rPr>
        <w:t xml:space="preserve">, cited </w:t>
      </w:r>
      <w:r w:rsidR="00D026ED" w:rsidRPr="00513A63">
        <w:rPr>
          <w:lang w:val="en-US" w:eastAsia="en-US"/>
        </w:rPr>
        <w:t xml:space="preserve">in </w:t>
      </w:r>
      <w:r w:rsidRPr="00513A63">
        <w:rPr>
          <w:lang w:val="en-US" w:eastAsia="en-US"/>
        </w:rPr>
        <w:t xml:space="preserve">§ </w:t>
      </w:r>
      <w:r w:rsidR="008E6A5C" w:rsidRPr="00513A63">
        <w:rPr>
          <w:lang w:val="en-US" w:eastAsia="en-US"/>
        </w:rPr>
        <w:t>63</w:t>
      </w:r>
      <w:r w:rsidRPr="00513A63">
        <w:rPr>
          <w:lang w:val="en-US" w:eastAsia="en-US"/>
        </w:rPr>
        <w:t xml:space="preserve"> above, </w:t>
      </w:r>
      <w:r w:rsidR="00D026ED" w:rsidRPr="00513A63">
        <w:rPr>
          <w:lang w:val="en-US" w:eastAsia="en-US"/>
        </w:rPr>
        <w:t xml:space="preserve">at </w:t>
      </w:r>
      <w:r w:rsidRPr="00513A63">
        <w:rPr>
          <w:lang w:val="en-US" w:eastAsia="en-US"/>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513A63">
        <w:rPr>
          <w:i/>
          <w:lang w:val="en-US" w:eastAsia="en-US"/>
        </w:rPr>
        <w:t>Velcea and Maz</w:t>
      </w:r>
      <w:r w:rsidRPr="00513A63">
        <w:rPr>
          <w:i/>
        </w:rPr>
        <w:t>ăre</w:t>
      </w:r>
      <w:r w:rsidRPr="00513A63">
        <w:t xml:space="preserve"> </w:t>
      </w:r>
      <w:r w:rsidRPr="00513A63">
        <w:rPr>
          <w:i/>
        </w:rPr>
        <w:t>v. Romania</w:t>
      </w:r>
      <w:r w:rsidRPr="00513A63">
        <w:t xml:space="preserve">, no. 64301/01, judgment of 1 December 2009, § 105). </w:t>
      </w:r>
      <w:bookmarkStart w:id="2" w:name="_Ref342300077"/>
    </w:p>
    <w:p w:rsidR="0025436E" w:rsidRDefault="0025436E" w:rsidP="0025436E">
      <w:pPr>
        <w:pStyle w:val="ListParagraph"/>
      </w:pPr>
    </w:p>
    <w:p w:rsidR="0025436E" w:rsidRPr="00513A63" w:rsidRDefault="0025436E" w:rsidP="00183BF4">
      <w:pPr>
        <w:pStyle w:val="Default"/>
        <w:numPr>
          <w:ilvl w:val="0"/>
          <w:numId w:val="10"/>
        </w:numPr>
        <w:tabs>
          <w:tab w:val="left" w:pos="450"/>
          <w:tab w:val="left" w:pos="540"/>
          <w:tab w:val="left" w:pos="720"/>
        </w:tabs>
        <w:ind w:hanging="450"/>
        <w:jc w:val="both"/>
        <w:rPr>
          <w:lang w:val="en-US" w:eastAsia="en-US"/>
        </w:rPr>
      </w:pPr>
      <w:r w:rsidRPr="00513A63">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513A63">
        <w:rPr>
          <w:i/>
        </w:rPr>
        <w:t>Palić v. Bosnia and Herzegovina</w:t>
      </w:r>
      <w:r w:rsidRPr="00513A63">
        <w:t>, cited in §</w:t>
      </w:r>
      <w:r w:rsidR="00DD65EE" w:rsidRPr="00513A63">
        <w:t xml:space="preserve"> </w:t>
      </w:r>
      <w:r w:rsidR="008E6A5C" w:rsidRPr="00513A63">
        <w:t>66</w:t>
      </w:r>
      <w:r w:rsidRPr="00513A63">
        <w:t xml:space="preserve"> above, at § 46; in the same sense ECtHR [GC], </w:t>
      </w:r>
      <w:r w:rsidRPr="00513A63">
        <w:rPr>
          <w:i/>
        </w:rPr>
        <w:t>Varnava and Others v. Turkey</w:t>
      </w:r>
      <w:r w:rsidRPr="00513A63">
        <w:t xml:space="preserve">, cited in § </w:t>
      </w:r>
      <w:r w:rsidR="008E6A5C" w:rsidRPr="00513A63">
        <w:rPr>
          <w:lang w:val="en-US" w:eastAsia="en-US"/>
        </w:rPr>
        <w:t>43</w:t>
      </w:r>
      <w:r w:rsidR="00DD65EE" w:rsidRPr="00513A63">
        <w:t xml:space="preserve"> </w:t>
      </w:r>
      <w:r w:rsidRPr="00513A63">
        <w:t xml:space="preserve">above, at § 148, </w:t>
      </w:r>
      <w:r w:rsidRPr="00513A63">
        <w:rPr>
          <w:i/>
        </w:rPr>
        <w:t>Aslakhanova and Others v. Russia</w:t>
      </w:r>
      <w:r w:rsidRPr="00513A63">
        <w:t>, nos. 2944/06 and others, judgment of 18 December 2012, § 12</w:t>
      </w:r>
      <w:r w:rsidRPr="00513A63">
        <w:rPr>
          <w:rFonts w:cs="CAGLHH+TimesNewRoman"/>
          <w:lang w:val="en-GB"/>
        </w:rPr>
        <w:t>2</w:t>
      </w:r>
      <w:r w:rsidRPr="00513A63">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513A63">
        <w:rPr>
          <w:i/>
        </w:rPr>
        <w:t>Palić v. Bosnia and Herzegovina</w:t>
      </w:r>
      <w:r w:rsidRPr="00513A63">
        <w:t xml:space="preserve">, cited above, at § 46; in the same sense ECtHR [GC], </w:t>
      </w:r>
      <w:r w:rsidRPr="00513A63">
        <w:rPr>
          <w:i/>
        </w:rPr>
        <w:t>Varnava and Others v. Turkey</w:t>
      </w:r>
      <w:r w:rsidRPr="00513A63">
        <w:t xml:space="preserve">, cited above, at § 145). While the location and the subsequent identification of the mortal remains of the victim may in themselves be significant achievements, the procedural obligation under Article 2 continues to exist (see ECtHR, </w:t>
      </w:r>
      <w:r w:rsidRPr="00513A63">
        <w:rPr>
          <w:i/>
        </w:rPr>
        <w:t>Palić v. Bosnia and Herzegovina</w:t>
      </w:r>
      <w:r w:rsidRPr="00513A63">
        <w:t>, cited above, at § 64).</w:t>
      </w:r>
      <w:bookmarkEnd w:id="2"/>
    </w:p>
    <w:p w:rsidR="00B83582" w:rsidRPr="00513A63" w:rsidRDefault="00B83582" w:rsidP="00B83582">
      <w:pPr>
        <w:pStyle w:val="Default"/>
        <w:tabs>
          <w:tab w:val="left" w:pos="450"/>
          <w:tab w:val="left" w:pos="540"/>
          <w:tab w:val="left" w:pos="720"/>
        </w:tabs>
        <w:ind w:left="450"/>
        <w:jc w:val="both"/>
        <w:rPr>
          <w:lang w:val="en-US" w:eastAsia="en-US"/>
        </w:rPr>
      </w:pPr>
    </w:p>
    <w:p w:rsidR="00C11883" w:rsidRPr="00C11883" w:rsidRDefault="00314A8F" w:rsidP="00C11883">
      <w:pPr>
        <w:pStyle w:val="Default"/>
        <w:numPr>
          <w:ilvl w:val="0"/>
          <w:numId w:val="10"/>
        </w:numPr>
        <w:tabs>
          <w:tab w:val="left" w:pos="450"/>
          <w:tab w:val="left" w:pos="540"/>
          <w:tab w:val="left" w:pos="720"/>
        </w:tabs>
        <w:ind w:hanging="450"/>
        <w:jc w:val="both"/>
        <w:rPr>
          <w:lang w:val="en-US" w:eastAsia="en-US"/>
        </w:rPr>
      </w:pPr>
      <w:r w:rsidRPr="00513A63">
        <w:t xml:space="preserve">On the </w:t>
      </w:r>
      <w:r w:rsidRPr="00513A63">
        <w:rPr>
          <w:lang w:val="en-US" w:eastAsia="en-US"/>
        </w:rPr>
        <w:t>requirement</w:t>
      </w:r>
      <w:r w:rsidRPr="00513A63">
        <w:t xml:space="preserve">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B83582" w:rsidRPr="00513A63">
        <w:t xml:space="preserve">EctHR, </w:t>
      </w:r>
      <w:r w:rsidRPr="00513A63">
        <w:rPr>
          <w:i/>
          <w:lang w:eastAsia="en-US"/>
        </w:rPr>
        <w:t>Ahmet Özkan and Others v. Turkey</w:t>
      </w:r>
      <w:r w:rsidRPr="00513A63">
        <w:rPr>
          <w:lang w:eastAsia="en-US"/>
        </w:rPr>
        <w:t xml:space="preserve">, cited </w:t>
      </w:r>
      <w:r w:rsidR="00B83582" w:rsidRPr="00513A63">
        <w:rPr>
          <w:lang w:eastAsia="en-US"/>
        </w:rPr>
        <w:t xml:space="preserve">in </w:t>
      </w:r>
      <w:r w:rsidRPr="00513A63">
        <w:rPr>
          <w:lang w:eastAsia="en-US"/>
        </w:rPr>
        <w:t xml:space="preserve">§ </w:t>
      </w:r>
      <w:r w:rsidR="008E6A5C" w:rsidRPr="00513A63">
        <w:rPr>
          <w:lang w:eastAsia="en-US"/>
        </w:rPr>
        <w:t>65</w:t>
      </w:r>
      <w:r w:rsidR="00B83582" w:rsidRPr="00513A63">
        <w:rPr>
          <w:lang w:eastAsia="en-US"/>
        </w:rPr>
        <w:t xml:space="preserve"> above, at </w:t>
      </w:r>
      <w:r w:rsidRPr="00513A63">
        <w:rPr>
          <w:lang w:eastAsia="en-US"/>
        </w:rPr>
        <w:t>§§ 311</w:t>
      </w:r>
      <w:r w:rsidRPr="00513A63">
        <w:rPr>
          <w:lang w:eastAsia="en-US"/>
        </w:rPr>
        <w:noBreakHyphen/>
        <w:t>314;</w:t>
      </w:r>
      <w:r w:rsidRPr="00513A63">
        <w:t xml:space="preserve"> </w:t>
      </w:r>
      <w:r w:rsidR="00B83582" w:rsidRPr="00513A63">
        <w:t xml:space="preserve">ECtHR, </w:t>
      </w:r>
      <w:r w:rsidRPr="00513A63">
        <w:rPr>
          <w:i/>
        </w:rPr>
        <w:t>Isayeva v. Russia</w:t>
      </w:r>
      <w:r w:rsidRPr="00513A63">
        <w:t>, cited above</w:t>
      </w:r>
      <w:r w:rsidR="00B83582" w:rsidRPr="00513A63">
        <w:t xml:space="preserve"> in § </w:t>
      </w:r>
      <w:r w:rsidR="008E6A5C" w:rsidRPr="00513A63">
        <w:rPr>
          <w:lang w:eastAsia="en-US"/>
        </w:rPr>
        <w:t>65</w:t>
      </w:r>
      <w:r w:rsidRPr="00513A63">
        <w:t xml:space="preserve">, </w:t>
      </w:r>
      <w:r w:rsidR="00B83582" w:rsidRPr="00513A63">
        <w:t xml:space="preserve">at </w:t>
      </w:r>
      <w:r w:rsidRPr="00513A63">
        <w:t xml:space="preserve">§§ 211-214 and the cases cited therein).” </w:t>
      </w:r>
      <w:r w:rsidRPr="00513A63">
        <w:rPr>
          <w:lang w:eastAsia="en-US"/>
        </w:rPr>
        <w:t xml:space="preserve">ECtHR </w:t>
      </w:r>
      <w:r w:rsidR="00B83582" w:rsidRPr="00513A63">
        <w:rPr>
          <w:lang w:eastAsia="en-US"/>
        </w:rPr>
        <w:t>[GC]</w:t>
      </w:r>
      <w:r w:rsidRPr="00513A63">
        <w:rPr>
          <w:lang w:eastAsia="en-US"/>
        </w:rPr>
        <w:t xml:space="preserve">, </w:t>
      </w:r>
      <w:r w:rsidRPr="00513A63">
        <w:rPr>
          <w:i/>
          <w:lang w:eastAsia="en-US"/>
        </w:rPr>
        <w:t>Al-Skeini and Others v. United Kingdom</w:t>
      </w:r>
      <w:r w:rsidRPr="00513A63">
        <w:rPr>
          <w:lang w:eastAsia="en-US"/>
        </w:rPr>
        <w:t>, no. 55721/07, judgment of 7 July 2011, § 167).</w:t>
      </w:r>
    </w:p>
    <w:p w:rsidR="005C28D4" w:rsidRDefault="005C28D4" w:rsidP="005C28D4">
      <w:pPr>
        <w:pStyle w:val="ListParagraph"/>
        <w:rPr>
          <w:lang w:val="en-US" w:eastAsia="en-US"/>
        </w:rPr>
      </w:pPr>
    </w:p>
    <w:p w:rsidR="005C28D4" w:rsidRPr="005C28D4" w:rsidRDefault="005C28D4" w:rsidP="00ED7FA5">
      <w:pPr>
        <w:pStyle w:val="ListParagraph"/>
        <w:numPr>
          <w:ilvl w:val="0"/>
          <w:numId w:val="8"/>
        </w:numPr>
        <w:ind w:left="426"/>
        <w:jc w:val="both"/>
        <w:rPr>
          <w:i/>
          <w:color w:val="000000"/>
          <w:lang w:val="en-US" w:eastAsia="en-US"/>
        </w:rPr>
      </w:pPr>
      <w:r w:rsidRPr="00C5345A">
        <w:rPr>
          <w:i/>
          <w:color w:val="000000"/>
          <w:lang w:val="en-US" w:eastAsia="en-US"/>
        </w:rPr>
        <w:t>Applicability of Article 2 to the Kosovo context</w:t>
      </w:r>
    </w:p>
    <w:p w:rsidR="005C28D4" w:rsidRDefault="005C28D4" w:rsidP="005C28D4">
      <w:pPr>
        <w:pStyle w:val="ListParagraph"/>
      </w:pPr>
    </w:p>
    <w:p w:rsidR="00523F81" w:rsidRPr="00513A63" w:rsidRDefault="009B081A" w:rsidP="005C28D4">
      <w:pPr>
        <w:pStyle w:val="Default"/>
        <w:numPr>
          <w:ilvl w:val="0"/>
          <w:numId w:val="10"/>
        </w:numPr>
        <w:tabs>
          <w:tab w:val="left" w:pos="450"/>
          <w:tab w:val="left" w:pos="540"/>
          <w:tab w:val="left" w:pos="720"/>
        </w:tabs>
        <w:ind w:hanging="450"/>
        <w:jc w:val="both"/>
        <w:rPr>
          <w:lang w:val="en-US" w:eastAsia="en-US"/>
        </w:rPr>
      </w:pPr>
      <w:r w:rsidRPr="00C5345A">
        <w:t>The Panel notes that</w:t>
      </w:r>
      <w:r w:rsidR="000B025D" w:rsidRPr="00C5345A">
        <w:t xml:space="preserve"> the abduction and </w:t>
      </w:r>
      <w:r w:rsidR="00C11883">
        <w:t>death</w:t>
      </w:r>
      <w:r w:rsidR="000B025D" w:rsidRPr="00C5345A">
        <w:t xml:space="preserve"> of </w:t>
      </w:r>
      <w:r w:rsidR="00523F81">
        <w:t>Dušan Bog</w:t>
      </w:r>
      <w:r w:rsidRPr="00C5345A">
        <w:t>ić</w:t>
      </w:r>
      <w:r w:rsidR="00523F81">
        <w:t>evi</w:t>
      </w:r>
      <w:r w:rsidR="00523F81" w:rsidRPr="00C5345A">
        <w:t>ć</w:t>
      </w:r>
      <w:r w:rsidRPr="00C5345A">
        <w:t xml:space="preserve"> </w:t>
      </w:r>
      <w:r w:rsidR="00523F81" w:rsidRPr="008F76E8">
        <w:t xml:space="preserve">occurred shortly after the deployment of UNMIK in Kosovo in the immediate aftermath of the armed </w:t>
      </w:r>
      <w:r w:rsidR="00523F81" w:rsidRPr="00513A63">
        <w:t xml:space="preserve">conflict, when crime, violence and insecurity were rife. </w:t>
      </w:r>
    </w:p>
    <w:p w:rsidR="002F2772" w:rsidRPr="00513A63" w:rsidRDefault="002F2772" w:rsidP="005C28D4">
      <w:pPr>
        <w:pStyle w:val="Default"/>
        <w:tabs>
          <w:tab w:val="left" w:pos="450"/>
          <w:tab w:val="left" w:pos="540"/>
          <w:tab w:val="left" w:pos="720"/>
        </w:tabs>
        <w:ind w:left="360"/>
        <w:jc w:val="both"/>
        <w:rPr>
          <w:lang w:val="en-US" w:eastAsia="en-US"/>
        </w:rPr>
      </w:pPr>
    </w:p>
    <w:p w:rsidR="002F2772" w:rsidRPr="00513A63" w:rsidRDefault="002F2772" w:rsidP="00183BF4">
      <w:pPr>
        <w:pStyle w:val="Default"/>
        <w:numPr>
          <w:ilvl w:val="0"/>
          <w:numId w:val="10"/>
        </w:numPr>
        <w:tabs>
          <w:tab w:val="left" w:pos="450"/>
          <w:tab w:val="left" w:pos="540"/>
          <w:tab w:val="left" w:pos="720"/>
        </w:tabs>
        <w:ind w:hanging="450"/>
        <w:jc w:val="both"/>
        <w:rPr>
          <w:lang w:val="en-US" w:eastAsia="en-US"/>
        </w:rPr>
      </w:pPr>
      <w:r w:rsidRPr="00513A63">
        <w:t>On his part, the SRSG does not contest that UNMIK had a duty to investigate the present case under ECHR Article 2. However, according to the SRSG, the</w:t>
      </w:r>
      <w:r w:rsidR="005C28D4" w:rsidRPr="00513A63">
        <w:t xml:space="preserve"> unique</w:t>
      </w:r>
      <w:r w:rsidRPr="00513A63">
        <w:t xml:space="preserve">  circumstances pertaining to the Kosovo context</w:t>
      </w:r>
      <w:r w:rsidR="009B081A" w:rsidRPr="00513A63">
        <w:t>,</w:t>
      </w:r>
      <w:r w:rsidRPr="00513A63">
        <w:t xml:space="preserve"> shall be taken into account when assessing whether this investigation is in compliance with Article 2 of the ECHR.</w:t>
      </w:r>
      <w:r w:rsidR="00E02702" w:rsidRPr="00513A63">
        <w:t xml:space="preserve"> In other cases pending before the Panel concerning alleged violation of the </w:t>
      </w:r>
      <w:r w:rsidR="00201F1A" w:rsidRPr="00513A63">
        <w:t>procedural obligation</w:t>
      </w:r>
      <w:r w:rsidR="00E02702" w:rsidRPr="00513A63">
        <w:t xml:space="preserve"> under Article 2, the SRSG has further elaborated that</w:t>
      </w:r>
      <w:r w:rsidR="00201F1A" w:rsidRPr="00513A63">
        <w:t xml:space="preserve"> the “unique circumstances” of the Kosovo context include</w:t>
      </w:r>
      <w:r w:rsidR="00E02702" w:rsidRPr="00513A63">
        <w:t xml:space="preserve"> also the peculiar challenges </w:t>
      </w:r>
      <w:r w:rsidR="00201F1A" w:rsidRPr="00513A63">
        <w:t>of</w:t>
      </w:r>
      <w:r w:rsidR="00E02702" w:rsidRPr="00513A63">
        <w:t xml:space="preserve"> UNMIK’s deployment in the first phase of its m</w:t>
      </w:r>
      <w:r w:rsidR="00201F1A" w:rsidRPr="00513A63">
        <w:t>ission, which</w:t>
      </w:r>
      <w:r w:rsidR="00E02702" w:rsidRPr="00513A63">
        <w:t xml:space="preserve"> shall</w:t>
      </w:r>
      <w:r w:rsidR="00201F1A" w:rsidRPr="00513A63">
        <w:t xml:space="preserve"> also</w:t>
      </w:r>
      <w:r w:rsidR="00E02702" w:rsidRPr="00513A63">
        <w:t xml:space="preserve"> be duly considered</w:t>
      </w:r>
      <w:r w:rsidR="00201F1A" w:rsidRPr="00513A63">
        <w:t xml:space="preserve"> when assessing the effectiveness of the investigation under Article 2</w:t>
      </w:r>
      <w:r w:rsidRPr="00513A63">
        <w:t xml:space="preserve"> </w:t>
      </w:r>
      <w:r w:rsidR="00E02702" w:rsidRPr="00513A63">
        <w:t xml:space="preserve">(see HRAP, </w:t>
      </w:r>
      <w:r w:rsidR="00E02702" w:rsidRPr="00513A63">
        <w:rPr>
          <w:i/>
        </w:rPr>
        <w:t>S.C.</w:t>
      </w:r>
      <w:r w:rsidR="00E02702" w:rsidRPr="00513A63">
        <w:t xml:space="preserve">, case no. 02/09, opinion of 6 December 2012, §§ 64-69). </w:t>
      </w:r>
      <w:r w:rsidRPr="00513A63">
        <w:t xml:space="preserve">In substance, the SRSG argues that it is not possible to apply to UNMIK the same standards applicable to a State in a normal situation. </w:t>
      </w:r>
    </w:p>
    <w:p w:rsidR="002F2772" w:rsidRPr="0055507B" w:rsidRDefault="002F2772" w:rsidP="002F2772">
      <w:pPr>
        <w:pStyle w:val="ListParagraph"/>
        <w:rPr>
          <w:color w:val="000000"/>
          <w:lang w:val="en-US" w:eastAsia="en-US"/>
        </w:rPr>
      </w:pPr>
    </w:p>
    <w:p w:rsidR="002F2772" w:rsidRPr="0055507B" w:rsidRDefault="002F2772" w:rsidP="00183BF4">
      <w:pPr>
        <w:pStyle w:val="Default"/>
        <w:numPr>
          <w:ilvl w:val="0"/>
          <w:numId w:val="10"/>
        </w:numPr>
        <w:tabs>
          <w:tab w:val="left" w:pos="450"/>
          <w:tab w:val="left" w:pos="540"/>
          <w:tab w:val="left" w:pos="720"/>
        </w:tabs>
        <w:ind w:hanging="450"/>
        <w:jc w:val="both"/>
        <w:rPr>
          <w:lang w:val="en-US" w:eastAsia="en-US"/>
        </w:rPr>
      </w:pPr>
      <w:r w:rsidRPr="0055507B">
        <w:rPr>
          <w:lang w:val="en-US" w:eastAsia="en-US"/>
        </w:rPr>
        <w:t xml:space="preserve">The Panel considers that the SRSG’s arguments raise two main questions: first, whether the </w:t>
      </w:r>
      <w:r w:rsidRPr="003E4FDB">
        <w:t>standards</w:t>
      </w:r>
      <w:r w:rsidRPr="0055507B">
        <w:rPr>
          <w:lang w:val="en-US" w:eastAsia="en-US"/>
        </w:rPr>
        <w:t xml:space="preserve"> of Article 2 continue to apply in situation of conflict or generalised violence and, secondly, whether such standards shall be considered fully applicable to UNMIK, in particular during the first phase of its mission.</w:t>
      </w:r>
    </w:p>
    <w:p w:rsidR="002F2772" w:rsidRPr="0055507B" w:rsidRDefault="002F2772" w:rsidP="002F2772">
      <w:pPr>
        <w:pStyle w:val="ListParagraph"/>
        <w:rPr>
          <w:color w:val="000000"/>
          <w:lang w:val="en-US" w:eastAsia="en-US"/>
        </w:rPr>
      </w:pPr>
    </w:p>
    <w:p w:rsidR="002F2772" w:rsidRPr="0055507B" w:rsidRDefault="002F2772" w:rsidP="00183BF4">
      <w:pPr>
        <w:pStyle w:val="Default"/>
        <w:numPr>
          <w:ilvl w:val="0"/>
          <w:numId w:val="10"/>
        </w:numPr>
        <w:tabs>
          <w:tab w:val="left" w:pos="450"/>
          <w:tab w:val="left" w:pos="540"/>
          <w:tab w:val="left" w:pos="720"/>
        </w:tabs>
        <w:ind w:hanging="450"/>
        <w:jc w:val="both"/>
        <w:rPr>
          <w:lang w:val="en-US" w:eastAsia="en-US"/>
        </w:rPr>
      </w:pPr>
      <w:r w:rsidRPr="0055507B">
        <w:rPr>
          <w:lang w:val="en-US" w:eastAsia="en-US"/>
        </w:rPr>
        <w:t xml:space="preserve">As regards the applicability of Article 2 to UNMIK, the Panel recalls </w:t>
      </w:r>
      <w:r w:rsidRPr="0055507B">
        <w:rPr>
          <w:lang w:val="en-US" w:eastAsia="nl-BE"/>
        </w:rPr>
        <w:t xml:space="preserve">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w:t>
      </w:r>
      <w:r w:rsidRPr="0055507B">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55507B">
        <w:rPr>
          <w:i/>
        </w:rPr>
        <w:t>Milogorić</w:t>
      </w:r>
      <w:r w:rsidRPr="0055507B">
        <w:t xml:space="preserve"> </w:t>
      </w:r>
      <w:r w:rsidRPr="0055507B">
        <w:rPr>
          <w:i/>
        </w:rPr>
        <w:t>and Others,</w:t>
      </w:r>
      <w:r w:rsidR="007622BC">
        <w:t xml:space="preserve"> nos. 38/08 and others</w:t>
      </w:r>
      <w:r w:rsidRPr="0055507B">
        <w:t xml:space="preserve">, opinion of 24 March 2011, § 44; </w:t>
      </w:r>
      <w:r w:rsidRPr="0055507B">
        <w:rPr>
          <w:i/>
        </w:rPr>
        <w:t>Berisha and Others,</w:t>
      </w:r>
      <w:r w:rsidRPr="0055507B">
        <w:t xml:space="preserve"> nos. 27/08 and others, opinion of 23 February 2011,</w:t>
      </w:r>
      <w:r w:rsidRPr="0055507B">
        <w:rPr>
          <w:i/>
        </w:rPr>
        <w:t xml:space="preserve"> </w:t>
      </w:r>
      <w:r w:rsidRPr="0055507B">
        <w:t xml:space="preserve">§ 25; </w:t>
      </w:r>
      <w:r w:rsidRPr="0055507B">
        <w:rPr>
          <w:i/>
          <w:lang w:val="en-US"/>
        </w:rPr>
        <w:t>Lali</w:t>
      </w:r>
      <w:r w:rsidRPr="0055507B">
        <w:rPr>
          <w:i/>
        </w:rPr>
        <w:t>ć and Others</w:t>
      </w:r>
      <w:r w:rsidRPr="0055507B">
        <w:t>, nos. 09/08 and others, opinion of 9 June 2012, § 22).</w:t>
      </w:r>
    </w:p>
    <w:p w:rsidR="002F2772" w:rsidRPr="0055507B" w:rsidRDefault="002F2772" w:rsidP="002F2772">
      <w:pPr>
        <w:jc w:val="both"/>
        <w:rPr>
          <w:color w:val="000000"/>
          <w:lang w:val="en-US" w:eastAsia="en-US"/>
        </w:rPr>
      </w:pPr>
    </w:p>
    <w:p w:rsidR="00B83582" w:rsidRPr="00513A63" w:rsidRDefault="002F2772" w:rsidP="00183BF4">
      <w:pPr>
        <w:pStyle w:val="Default"/>
        <w:numPr>
          <w:ilvl w:val="0"/>
          <w:numId w:val="10"/>
        </w:numPr>
        <w:tabs>
          <w:tab w:val="left" w:pos="450"/>
          <w:tab w:val="left" w:pos="540"/>
          <w:tab w:val="left" w:pos="720"/>
        </w:tabs>
        <w:ind w:hanging="450"/>
        <w:jc w:val="both"/>
        <w:rPr>
          <w:lang w:val="en-US" w:eastAsia="en-US"/>
        </w:rPr>
      </w:pPr>
      <w:r w:rsidRPr="00513A63">
        <w:t xml:space="preserve">Concerning the </w:t>
      </w:r>
      <w:r w:rsidRPr="00513A63">
        <w:rPr>
          <w:lang w:val="en-US" w:eastAsia="nl-BE"/>
        </w:rPr>
        <w:t>applicability</w:t>
      </w:r>
      <w:r w:rsidRPr="00513A63">
        <w:t xml:space="preserve">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513A63">
        <w:rPr>
          <w:i/>
        </w:rPr>
        <w:t>Palić v. Bosnia and Herzegovina,</w:t>
      </w:r>
      <w:r w:rsidRPr="00513A63">
        <w:t xml:space="preserve"> cited § </w:t>
      </w:r>
      <w:r w:rsidR="00197158" w:rsidRPr="00513A63">
        <w:t>66</w:t>
      </w:r>
      <w:r w:rsidRPr="00513A63">
        <w:t xml:space="preserve"> above, and ECtHR, </w:t>
      </w:r>
      <w:r w:rsidRPr="00513A63">
        <w:rPr>
          <w:i/>
        </w:rPr>
        <w:t>Jularić v. Croatia</w:t>
      </w:r>
      <w:r w:rsidRPr="00513A63">
        <w:t xml:space="preserve">, no. 20106/06, judgment of 20 January 2011). The Court has further held that that the procedural obligation under Article 2 continues to apply in “difficult security conditions, including in a context of armed conflict” (see </w:t>
      </w:r>
      <w:r w:rsidR="00B83582" w:rsidRPr="00513A63">
        <w:rPr>
          <w:lang w:eastAsia="en-US"/>
        </w:rPr>
        <w:t>ECtHR [GC]</w:t>
      </w:r>
      <w:r w:rsidRPr="00513A63">
        <w:rPr>
          <w:lang w:eastAsia="en-US"/>
        </w:rPr>
        <w:t xml:space="preserve">, </w:t>
      </w:r>
      <w:r w:rsidRPr="00513A63">
        <w:rPr>
          <w:i/>
          <w:lang w:eastAsia="en-US"/>
        </w:rPr>
        <w:t>Al-Skeini and Others v. United Kingdom</w:t>
      </w:r>
      <w:r w:rsidRPr="00513A63">
        <w:rPr>
          <w:lang w:eastAsia="en-US"/>
        </w:rPr>
        <w:t xml:space="preserve">, cited </w:t>
      </w:r>
      <w:r w:rsidR="00B83582" w:rsidRPr="00513A63">
        <w:rPr>
          <w:lang w:eastAsia="en-US"/>
        </w:rPr>
        <w:t xml:space="preserve">in </w:t>
      </w:r>
      <w:r w:rsidRPr="00513A63">
        <w:rPr>
          <w:lang w:eastAsia="en-US"/>
        </w:rPr>
        <w:t xml:space="preserve">§ </w:t>
      </w:r>
      <w:r w:rsidR="00DD65EE" w:rsidRPr="00513A63">
        <w:rPr>
          <w:lang w:eastAsia="en-US"/>
        </w:rPr>
        <w:t>6</w:t>
      </w:r>
      <w:r w:rsidR="008E6A5C" w:rsidRPr="00513A63">
        <w:rPr>
          <w:lang w:eastAsia="en-US"/>
        </w:rPr>
        <w:t>9</w:t>
      </w:r>
      <w:r w:rsidRPr="00513A63">
        <w:rPr>
          <w:lang w:eastAsia="en-US"/>
        </w:rPr>
        <w:t xml:space="preserve"> above</w:t>
      </w:r>
      <w:r w:rsidR="00B83582" w:rsidRPr="00513A63">
        <w:rPr>
          <w:lang w:eastAsia="en-US"/>
        </w:rPr>
        <w:t>, at</w:t>
      </w:r>
      <w:r w:rsidRPr="00513A63">
        <w:rPr>
          <w:lang w:eastAsia="en-US"/>
        </w:rPr>
        <w:t xml:space="preserve"> § 164; see also ECtHR, </w:t>
      </w:r>
      <w:r w:rsidRPr="00513A63">
        <w:rPr>
          <w:i/>
          <w:lang w:eastAsia="en-US"/>
        </w:rPr>
        <w:t>Güleç v. Turkey</w:t>
      </w:r>
      <w:r w:rsidRPr="00513A63">
        <w:rPr>
          <w:lang w:eastAsia="en-US"/>
        </w:rPr>
        <w:t>, no. 21593/93, judgment of 27 July 1998, § 81,</w:t>
      </w:r>
      <w:r w:rsidRPr="00513A63">
        <w:t xml:space="preserve"> </w:t>
      </w:r>
      <w:r w:rsidRPr="00513A63">
        <w:rPr>
          <w:lang w:eastAsia="en-US"/>
        </w:rPr>
        <w:t>Reports of Judgments and Decisions 1998 IV; ECtHR,</w:t>
      </w:r>
      <w:r w:rsidRPr="00513A63">
        <w:rPr>
          <w:i/>
          <w:lang w:eastAsia="en-US"/>
        </w:rPr>
        <w:t xml:space="preserve"> Ergi v. Turkey</w:t>
      </w:r>
      <w:r w:rsidRPr="00513A63">
        <w:rPr>
          <w:lang w:eastAsia="en-US"/>
        </w:rPr>
        <w:t>, no. 23818/94,  judgment of 28 July 1998, §§ 79 and 82, Reports 1998 IV; ECtHR,</w:t>
      </w:r>
      <w:r w:rsidRPr="00513A63">
        <w:rPr>
          <w:i/>
          <w:lang w:eastAsia="en-US"/>
        </w:rPr>
        <w:t xml:space="preserve"> Ahmet Özkan and Others v. Turkey</w:t>
      </w:r>
      <w:r w:rsidRPr="00513A63">
        <w:rPr>
          <w:lang w:eastAsia="en-US"/>
        </w:rPr>
        <w:t>, cited</w:t>
      </w:r>
      <w:r w:rsidR="00B83582" w:rsidRPr="00513A63">
        <w:rPr>
          <w:lang w:eastAsia="en-US"/>
        </w:rPr>
        <w:t xml:space="preserve"> in</w:t>
      </w:r>
      <w:r w:rsidRPr="00513A63">
        <w:rPr>
          <w:lang w:eastAsia="en-US"/>
        </w:rPr>
        <w:t xml:space="preserve"> § </w:t>
      </w:r>
      <w:r w:rsidR="008E6A5C" w:rsidRPr="00513A63">
        <w:rPr>
          <w:lang w:eastAsia="en-US"/>
        </w:rPr>
        <w:t>65</w:t>
      </w:r>
      <w:r w:rsidRPr="00513A63">
        <w:rPr>
          <w:lang w:eastAsia="en-US"/>
        </w:rPr>
        <w:t xml:space="preserve"> above, </w:t>
      </w:r>
      <w:r w:rsidR="00B83582" w:rsidRPr="00513A63">
        <w:rPr>
          <w:lang w:eastAsia="en-US"/>
        </w:rPr>
        <w:t xml:space="preserve">at </w:t>
      </w:r>
      <w:r w:rsidRPr="00513A63">
        <w:rPr>
          <w:lang w:eastAsia="en-US"/>
        </w:rPr>
        <w:t>§§ 85-90 and 309-320 and 326-330;</w:t>
      </w:r>
      <w:r w:rsidR="00B83582" w:rsidRPr="00513A63">
        <w:rPr>
          <w:lang w:eastAsia="en-US"/>
        </w:rPr>
        <w:t xml:space="preserve"> ECtHR</w:t>
      </w:r>
      <w:r w:rsidRPr="00513A63">
        <w:rPr>
          <w:i/>
          <w:lang w:eastAsia="en-US"/>
        </w:rPr>
        <w:t xml:space="preserve"> Isayeva v. Russia</w:t>
      </w:r>
      <w:r w:rsidRPr="00513A63">
        <w:rPr>
          <w:lang w:eastAsia="en-US"/>
        </w:rPr>
        <w:t xml:space="preserve">, cited </w:t>
      </w:r>
      <w:r w:rsidR="00B83582" w:rsidRPr="00513A63">
        <w:rPr>
          <w:lang w:eastAsia="en-US"/>
        </w:rPr>
        <w:t xml:space="preserve">in </w:t>
      </w:r>
      <w:r w:rsidRPr="00513A63">
        <w:rPr>
          <w:lang w:eastAsia="en-US"/>
        </w:rPr>
        <w:t xml:space="preserve">§ </w:t>
      </w:r>
      <w:r w:rsidR="008E6A5C" w:rsidRPr="00513A63">
        <w:rPr>
          <w:lang w:eastAsia="en-US"/>
        </w:rPr>
        <w:t>65</w:t>
      </w:r>
      <w:r w:rsidRPr="00513A63">
        <w:rPr>
          <w:lang w:eastAsia="en-US"/>
        </w:rPr>
        <w:t xml:space="preserve"> above, </w:t>
      </w:r>
      <w:r w:rsidR="00B83582" w:rsidRPr="00513A63">
        <w:rPr>
          <w:lang w:eastAsia="en-US"/>
        </w:rPr>
        <w:t xml:space="preserve">at </w:t>
      </w:r>
      <w:r w:rsidRPr="00513A63">
        <w:rPr>
          <w:lang w:eastAsia="en-US"/>
        </w:rPr>
        <w:t xml:space="preserve">§§ 180 and 210; ECtHR, </w:t>
      </w:r>
      <w:r w:rsidRPr="00513A63">
        <w:rPr>
          <w:i/>
          <w:lang w:eastAsia="en-US"/>
        </w:rPr>
        <w:t>Kanlibaş v. Turkey</w:t>
      </w:r>
      <w:r w:rsidRPr="00513A63">
        <w:rPr>
          <w:lang w:eastAsia="en-US"/>
        </w:rPr>
        <w:t>, no. 32444/96, judgment of 8 December 2005, §§ 39-51)</w:t>
      </w:r>
      <w:r w:rsidRPr="00513A63">
        <w:t xml:space="preserve">. </w:t>
      </w:r>
    </w:p>
    <w:p w:rsidR="00B83582" w:rsidRPr="00B83582" w:rsidRDefault="00B83582" w:rsidP="00B83582">
      <w:pPr>
        <w:pStyle w:val="Default"/>
        <w:tabs>
          <w:tab w:val="left" w:pos="450"/>
          <w:tab w:val="left" w:pos="540"/>
          <w:tab w:val="left" w:pos="720"/>
        </w:tabs>
        <w:ind w:left="450"/>
        <w:jc w:val="both"/>
        <w:rPr>
          <w:lang w:val="en-US" w:eastAsia="en-US"/>
        </w:rPr>
      </w:pPr>
    </w:p>
    <w:p w:rsidR="00B83582" w:rsidRPr="00C5345A" w:rsidRDefault="002F2772" w:rsidP="00183BF4">
      <w:pPr>
        <w:pStyle w:val="Default"/>
        <w:numPr>
          <w:ilvl w:val="0"/>
          <w:numId w:val="10"/>
        </w:numPr>
        <w:tabs>
          <w:tab w:val="left" w:pos="450"/>
          <w:tab w:val="left" w:pos="540"/>
          <w:tab w:val="left" w:pos="720"/>
        </w:tabs>
        <w:ind w:hanging="450"/>
        <w:jc w:val="both"/>
        <w:rPr>
          <w:lang w:val="en-US" w:eastAsia="en-US"/>
        </w:rPr>
      </w:pPr>
      <w:r w:rsidRPr="00C5345A">
        <w:t xml:space="preserve">The Court has </w:t>
      </w:r>
      <w:r w:rsidRPr="00C5345A">
        <w:rPr>
          <w:lang w:val="en-US" w:eastAsia="nl-BE"/>
        </w:rPr>
        <w:t>acknowledged</w:t>
      </w:r>
      <w:r w:rsidRPr="00C5345A">
        <w:t xml:space="preserve"> that “where the death [and disappearances] to be investigated under Article 2 occur in circumstances of generalised violence, armed conflict or insurgency, obstacles may be placed in the way of investigators and concrete constraints may compel the </w:t>
      </w:r>
      <w:r w:rsidRPr="00C5345A">
        <w:rPr>
          <w:lang w:eastAsia="en-US"/>
        </w:rPr>
        <w:t xml:space="preserve">use of </w:t>
      </w:r>
      <w:r w:rsidRPr="00C5345A">
        <w:t xml:space="preserve">less effective measures of investigation or may cause an investigation to be delayed” (see, </w:t>
      </w:r>
      <w:r w:rsidR="00B83582" w:rsidRPr="00C5345A">
        <w:rPr>
          <w:lang w:eastAsia="en-US"/>
        </w:rPr>
        <w:t>ECtHR [GC]</w:t>
      </w:r>
      <w:r w:rsidRPr="00C5345A">
        <w:rPr>
          <w:lang w:eastAsia="en-US"/>
        </w:rPr>
        <w:t xml:space="preserve">, </w:t>
      </w:r>
      <w:r w:rsidRPr="00C5345A">
        <w:rPr>
          <w:i/>
          <w:lang w:eastAsia="en-US"/>
        </w:rPr>
        <w:t xml:space="preserve">Al-Skeini and Others v. the United Kingdom, </w:t>
      </w:r>
      <w:r w:rsidRPr="00C5345A">
        <w:rPr>
          <w:lang w:eastAsia="en-US"/>
        </w:rPr>
        <w:t xml:space="preserve">cited </w:t>
      </w:r>
      <w:r w:rsidR="00B83582" w:rsidRPr="00C5345A">
        <w:rPr>
          <w:lang w:eastAsia="en-US"/>
        </w:rPr>
        <w:t xml:space="preserve">in </w:t>
      </w:r>
      <w:r w:rsidR="00513A63">
        <w:rPr>
          <w:lang w:eastAsia="en-US"/>
        </w:rPr>
        <w:t>§</w:t>
      </w:r>
      <w:r w:rsidRPr="00C5345A">
        <w:rPr>
          <w:lang w:eastAsia="en-US"/>
        </w:rPr>
        <w:t xml:space="preserve"> </w:t>
      </w:r>
      <w:r w:rsidR="00513A63">
        <w:rPr>
          <w:lang w:eastAsia="en-US"/>
        </w:rPr>
        <w:t xml:space="preserve">69 </w:t>
      </w:r>
      <w:r w:rsidRPr="00C5345A">
        <w:rPr>
          <w:lang w:eastAsia="en-US"/>
        </w:rPr>
        <w:t>above</w:t>
      </w:r>
      <w:r w:rsidR="00B83582" w:rsidRPr="00C5345A">
        <w:rPr>
          <w:lang w:eastAsia="en-US"/>
        </w:rPr>
        <w:t>,</w:t>
      </w:r>
      <w:r w:rsidRPr="00C5345A">
        <w:rPr>
          <w:lang w:eastAsia="en-US"/>
        </w:rPr>
        <w:t xml:space="preserve"> at §164;</w:t>
      </w:r>
      <w:r w:rsidRPr="00C5345A">
        <w:rPr>
          <w:i/>
          <w:lang w:eastAsia="en-US"/>
        </w:rPr>
        <w:t xml:space="preserve"> </w:t>
      </w:r>
      <w:r w:rsidRPr="00C5345A">
        <w:rPr>
          <w:lang w:eastAsia="en-US"/>
        </w:rPr>
        <w:t>ECtHR,</w:t>
      </w:r>
      <w:r w:rsidRPr="00C5345A">
        <w:rPr>
          <w:i/>
          <w:lang w:eastAsia="en-US"/>
        </w:rPr>
        <w:t xml:space="preserve"> Bazorkina v. Russia</w:t>
      </w:r>
      <w:r w:rsidRPr="00C5345A">
        <w:rPr>
          <w:lang w:eastAsia="en-US"/>
        </w:rPr>
        <w:t xml:space="preserve">, </w:t>
      </w:r>
      <w:r w:rsidRPr="00513A63">
        <w:rPr>
          <w:lang w:eastAsia="en-US"/>
        </w:rPr>
        <w:t>no. 69481/01, judgment of 27 July 2006, § 121)</w:t>
      </w:r>
      <w:r w:rsidRPr="00513A63">
        <w:t xml:space="preserve">. </w:t>
      </w:r>
      <w:r w:rsidR="00B83582" w:rsidRPr="00513A63">
        <w:rPr>
          <w:lang w:val="en-US" w:eastAsia="ar-SA"/>
        </w:rPr>
        <w:t xml:space="preserve">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00B83582" w:rsidRPr="00513A63">
        <w:rPr>
          <w:i/>
          <w:lang w:val="en-US" w:eastAsia="en-US"/>
        </w:rPr>
        <w:t>Kaya v. Turkey</w:t>
      </w:r>
      <w:r w:rsidR="00B83582" w:rsidRPr="00513A63">
        <w:rPr>
          <w:lang w:val="en-US" w:eastAsia="en-US"/>
        </w:rPr>
        <w:t xml:space="preserve">, cited in § </w:t>
      </w:r>
      <w:r w:rsidR="008E6A5C" w:rsidRPr="00513A63">
        <w:rPr>
          <w:lang w:val="en-US" w:eastAsia="en-US"/>
        </w:rPr>
        <w:t>63</w:t>
      </w:r>
      <w:r w:rsidR="00DD65EE" w:rsidRPr="00513A63">
        <w:rPr>
          <w:lang w:val="en-US" w:eastAsia="en-US"/>
        </w:rPr>
        <w:t xml:space="preserve"> </w:t>
      </w:r>
      <w:r w:rsidR="00B83582" w:rsidRPr="00513A63">
        <w:rPr>
          <w:lang w:val="en-US" w:eastAsia="en-US"/>
        </w:rPr>
        <w:t>above, at §§ 86</w:t>
      </w:r>
      <w:r w:rsidR="00B83582" w:rsidRPr="00513A63">
        <w:rPr>
          <w:lang w:val="en-US" w:eastAsia="en-US"/>
        </w:rPr>
        <w:noBreakHyphen/>
        <w:t xml:space="preserve">92; ECtHR, </w:t>
      </w:r>
      <w:r w:rsidR="00B83582" w:rsidRPr="00513A63">
        <w:rPr>
          <w:i/>
          <w:lang w:val="en-US" w:eastAsia="en-US"/>
        </w:rPr>
        <w:t xml:space="preserve">Ergi, </w:t>
      </w:r>
      <w:r w:rsidR="00B83582" w:rsidRPr="00513A63">
        <w:rPr>
          <w:lang w:val="en-US" w:eastAsia="en-US"/>
        </w:rPr>
        <w:t xml:space="preserve">cited in § </w:t>
      </w:r>
      <w:r w:rsidR="008E6A5C" w:rsidRPr="00513A63">
        <w:rPr>
          <w:lang w:val="en-US" w:eastAsia="en-US"/>
        </w:rPr>
        <w:t>74</w:t>
      </w:r>
      <w:r w:rsidR="00B83582" w:rsidRPr="00513A63">
        <w:rPr>
          <w:lang w:val="en-US" w:eastAsia="en-US"/>
        </w:rPr>
        <w:t xml:space="preserve"> above, at §§ 82-85; ECtHR [GC], </w:t>
      </w:r>
      <w:r w:rsidR="00B83582" w:rsidRPr="00513A63">
        <w:rPr>
          <w:i/>
          <w:lang w:val="en-US" w:eastAsia="en-US"/>
        </w:rPr>
        <w:t>Tanrıkulu v. Turkey</w:t>
      </w:r>
      <w:r w:rsidR="00B83582" w:rsidRPr="00513A63">
        <w:rPr>
          <w:lang w:val="en-US" w:eastAsia="en-US"/>
        </w:rPr>
        <w:t xml:space="preserve">, no. 23763/94, judgment of 8 July 1999, §§ 101-110, ECHR 1999-IV; ECtHR, </w:t>
      </w:r>
      <w:r w:rsidR="00B83582" w:rsidRPr="00513A63">
        <w:rPr>
          <w:i/>
          <w:lang w:val="en-US" w:eastAsia="en-US"/>
        </w:rPr>
        <w:t>Khashiyev and Akayeva v. Russia</w:t>
      </w:r>
      <w:r w:rsidR="00B83582" w:rsidRPr="00513A63">
        <w:rPr>
          <w:lang w:val="en-US" w:eastAsia="en-US"/>
        </w:rPr>
        <w:t xml:space="preserve">, nos. 57942/00 and 57945/00, judgment of 24 February 2005, §§ 156-166; ECtHR, </w:t>
      </w:r>
      <w:r w:rsidR="00B83582" w:rsidRPr="00513A63">
        <w:rPr>
          <w:i/>
          <w:lang w:val="en-US" w:eastAsia="en-US"/>
        </w:rPr>
        <w:t>Isayeva v. Russia</w:t>
      </w:r>
      <w:r w:rsidR="00B83582" w:rsidRPr="00513A63">
        <w:rPr>
          <w:lang w:val="en-US" w:eastAsia="en-US"/>
        </w:rPr>
        <w:t xml:space="preserve">, </w:t>
      </w:r>
      <w:r w:rsidR="00B83582" w:rsidRPr="00513A63">
        <w:rPr>
          <w:lang w:val="en-US" w:eastAsia="ar-SA"/>
        </w:rPr>
        <w:t>cited in §</w:t>
      </w:r>
      <w:r w:rsidR="00B54F6C" w:rsidRPr="00513A63">
        <w:rPr>
          <w:lang w:val="en-US" w:eastAsia="ar-SA"/>
        </w:rPr>
        <w:t xml:space="preserve"> </w:t>
      </w:r>
      <w:r w:rsidR="008E6A5C" w:rsidRPr="00513A63">
        <w:rPr>
          <w:lang w:val="en-US" w:eastAsia="ar-SA"/>
        </w:rPr>
        <w:t>65</w:t>
      </w:r>
      <w:r w:rsidR="00B83582" w:rsidRPr="00513A63">
        <w:rPr>
          <w:lang w:val="en-US" w:eastAsia="ar-SA"/>
        </w:rPr>
        <w:t xml:space="preserve"> above, at </w:t>
      </w:r>
      <w:r w:rsidR="00B83582" w:rsidRPr="00513A63">
        <w:rPr>
          <w:lang w:val="en-US" w:eastAsia="en-US"/>
        </w:rPr>
        <w:t>§§ 215</w:t>
      </w:r>
      <w:r w:rsidR="00B83582" w:rsidRPr="00513A63">
        <w:rPr>
          <w:lang w:val="en-US" w:eastAsia="en-US"/>
        </w:rPr>
        <w:noBreakHyphen/>
        <w:t xml:space="preserve">224; ECtHR, </w:t>
      </w:r>
      <w:r w:rsidR="00B83582" w:rsidRPr="00513A63">
        <w:rPr>
          <w:i/>
          <w:lang w:val="en-US" w:eastAsia="en-US"/>
        </w:rPr>
        <w:t>Musayev and Others v. Russia</w:t>
      </w:r>
      <w:r w:rsidR="00B83582" w:rsidRPr="00513A63">
        <w:rPr>
          <w:lang w:val="en-US" w:eastAsia="en-US"/>
        </w:rPr>
        <w:t>, nos. 57941/00 and others, judgment of 26 July 2007, §§ 158-165).</w:t>
      </w:r>
      <w:r w:rsidR="00B83582" w:rsidRPr="00C5345A">
        <w:rPr>
          <w:lang w:val="en-US" w:eastAsia="en-US"/>
        </w:rPr>
        <w:t xml:space="preserve"> </w:t>
      </w:r>
    </w:p>
    <w:p w:rsidR="00B83582" w:rsidRPr="00C5345A" w:rsidRDefault="00B83582" w:rsidP="00B83582">
      <w:pPr>
        <w:pStyle w:val="Default"/>
        <w:tabs>
          <w:tab w:val="left" w:pos="450"/>
          <w:tab w:val="left" w:pos="540"/>
          <w:tab w:val="left" w:pos="720"/>
        </w:tabs>
        <w:ind w:left="450"/>
        <w:jc w:val="both"/>
        <w:rPr>
          <w:lang w:val="en-US" w:eastAsia="en-US"/>
        </w:rPr>
      </w:pPr>
    </w:p>
    <w:p w:rsidR="0025436E" w:rsidRPr="00C5345A" w:rsidRDefault="00B83582" w:rsidP="00183BF4">
      <w:pPr>
        <w:pStyle w:val="Default"/>
        <w:numPr>
          <w:ilvl w:val="0"/>
          <w:numId w:val="10"/>
        </w:numPr>
        <w:tabs>
          <w:tab w:val="left" w:pos="450"/>
          <w:tab w:val="left" w:pos="540"/>
          <w:tab w:val="left" w:pos="720"/>
        </w:tabs>
        <w:ind w:hanging="450"/>
        <w:jc w:val="both"/>
        <w:rPr>
          <w:lang w:val="en-US" w:eastAsia="en-US"/>
        </w:rPr>
      </w:pPr>
      <w:r w:rsidRPr="00C5345A">
        <w:rPr>
          <w:lang w:val="en-US" w:eastAsia="en-US"/>
        </w:rPr>
        <w:t xml:space="preserve">Similarly, the HRC has held that the right to life, including its procedural guarantees, shall be considered as the supreme right from which no derogation is </w:t>
      </w:r>
      <w:r w:rsidRPr="00C5345A">
        <w:rPr>
          <w:lang w:val="en-US" w:eastAsia="ar-SA"/>
        </w:rPr>
        <w:t>permitted</w:t>
      </w:r>
      <w:r w:rsidRPr="00C5345A">
        <w:rPr>
          <w:lang w:val="en-US" w:eastAsia="en-US"/>
        </w:rPr>
        <w:t xml:space="preserve"> even in time of public emergency which threatens the life of the nation (see, HRC, General Comment No. 6, cited in § </w:t>
      </w:r>
      <w:r w:rsidR="00DD65EE" w:rsidRPr="00C5345A">
        <w:rPr>
          <w:lang w:val="en-US" w:eastAsia="en-US"/>
        </w:rPr>
        <w:t xml:space="preserve">99 </w:t>
      </w:r>
      <w:r w:rsidRPr="00C5345A">
        <w:rPr>
          <w:lang w:val="en-US" w:eastAsia="en-US"/>
        </w:rPr>
        <w:t xml:space="preserve">above, at § 1; HRC, </w:t>
      </w:r>
      <w:r w:rsidRPr="00C5345A">
        <w:rPr>
          <w:i/>
          <w:lang w:val="en-US" w:eastAsia="en-US"/>
        </w:rPr>
        <w:t>Abubakar Amirov and Aïzan Amirova v. Russi</w:t>
      </w:r>
      <w:r w:rsidRPr="00C5345A">
        <w:rPr>
          <w:lang w:val="en-US" w:eastAsia="ar-SA"/>
        </w:rPr>
        <w:t>a</w:t>
      </w:r>
      <w:r w:rsidRPr="00C5345A">
        <w:rPr>
          <w:i/>
          <w:lang w:val="en-US" w:eastAsia="en-US"/>
        </w:rPr>
        <w:t>n Federation</w:t>
      </w:r>
      <w:r w:rsidRPr="00C5345A">
        <w:rPr>
          <w:lang w:val="en-US" w:eastAsia="en-US"/>
        </w:rPr>
        <w:t xml:space="preserve">, 22 April 2009, § 11.2, </w:t>
      </w:r>
      <w:r w:rsidRPr="00C5345A">
        <w:rPr>
          <w:bCs/>
          <w:lang w:val="en-US" w:eastAsia="en-US"/>
        </w:rPr>
        <w:t>CCPR/C/95/D/1447/2006</w:t>
      </w:r>
      <w:r w:rsidRPr="00C5345A">
        <w:rPr>
          <w:lang w:val="en-US"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3" w:name="_Ref343611663"/>
    </w:p>
    <w:p w:rsidR="0025436E" w:rsidRDefault="0025436E" w:rsidP="0025436E">
      <w:pPr>
        <w:pStyle w:val="ListParagraph"/>
        <w:rPr>
          <w:lang w:val="en-US" w:eastAsia="ar-SA"/>
        </w:rPr>
      </w:pPr>
    </w:p>
    <w:p w:rsidR="008A41E1" w:rsidRPr="00513A63" w:rsidRDefault="0025436E" w:rsidP="008A41E1">
      <w:pPr>
        <w:pStyle w:val="Default"/>
        <w:numPr>
          <w:ilvl w:val="0"/>
          <w:numId w:val="10"/>
        </w:numPr>
        <w:tabs>
          <w:tab w:val="left" w:pos="450"/>
          <w:tab w:val="left" w:pos="540"/>
          <w:tab w:val="left" w:pos="720"/>
        </w:tabs>
        <w:ind w:hanging="450"/>
        <w:jc w:val="both"/>
        <w:rPr>
          <w:lang w:val="en-US" w:eastAsia="en-US"/>
        </w:rPr>
      </w:pPr>
      <w:r w:rsidRPr="0025436E">
        <w:rPr>
          <w:lang w:val="en-US" w:eastAsia="ar-SA"/>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w:t>
      </w:r>
      <w:r w:rsidRPr="00C5345A">
        <w:rPr>
          <w:lang w:val="en-US" w:eastAsia="ar-SA"/>
        </w:rPr>
        <w:t xml:space="preserve">a process for the proper handover of cases between different officers or units of UNMIK Police. Such a system should also take account of the protection needs of victims and witnesses (see, </w:t>
      </w:r>
      <w:r w:rsidRPr="00C5345A">
        <w:rPr>
          <w:i/>
          <w:lang w:val="en-US" w:eastAsia="ar-SA"/>
        </w:rPr>
        <w:t>mutatis mutandis</w:t>
      </w:r>
      <w:r w:rsidRPr="00C5345A">
        <w:rPr>
          <w:lang w:val="en-US" w:eastAsia="ar-SA"/>
        </w:rPr>
        <w:t xml:space="preserve">, ECtHR, </w:t>
      </w:r>
      <w:r w:rsidRPr="00C5345A">
        <w:rPr>
          <w:i/>
          <w:lang w:val="en-US" w:eastAsia="ar-SA"/>
        </w:rPr>
        <w:t>R.R. and Others v. Hungary</w:t>
      </w:r>
      <w:r w:rsidRPr="00C5345A">
        <w:rPr>
          <w:lang w:val="en-US" w:eastAsia="ar-SA"/>
        </w:rPr>
        <w:t>, no. 19400/11, judgment of 4 December 2012, §§ 28-32), as well as to consider the special v</w:t>
      </w:r>
      <w:r w:rsidRPr="00C5345A">
        <w:rPr>
          <w:lang w:eastAsia="ar-SA"/>
        </w:rPr>
        <w:t>ulnerability of displaced persons</w:t>
      </w:r>
      <w:r w:rsidRPr="00C5345A">
        <w:rPr>
          <w:lang w:val="en-US" w:eastAsia="ar-SA"/>
        </w:rPr>
        <w:t xml:space="preserve"> in post-conflict situations (see ECtHR [GC], </w:t>
      </w:r>
      <w:r w:rsidRPr="00C5345A">
        <w:rPr>
          <w:i/>
          <w:lang w:val="en-US" w:eastAsia="ar-SA"/>
        </w:rPr>
        <w:t xml:space="preserve">Sargsyan v. Azerbaijan, </w:t>
      </w:r>
      <w:r w:rsidRPr="00C5345A">
        <w:rPr>
          <w:lang w:val="en-US" w:eastAsia="ar-SA"/>
        </w:rPr>
        <w:t xml:space="preserve">no. 40167/06, decision of 14 December 2011, § 145; and ECtHR [GC], </w:t>
      </w:r>
      <w:r w:rsidRPr="00C5345A">
        <w:rPr>
          <w:i/>
          <w:lang w:val="en-US" w:eastAsia="ar-SA"/>
        </w:rPr>
        <w:t>Chiragov and Others v. Armenia</w:t>
      </w:r>
      <w:r w:rsidRPr="00C5345A">
        <w:rPr>
          <w:lang w:val="en-US" w:eastAsia="ar-SA"/>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w:t>
      </w:r>
      <w:r w:rsidRPr="00513A63">
        <w:rPr>
          <w:lang w:val="en-US" w:eastAsia="ar-SA"/>
        </w:rPr>
        <w:t xml:space="preserve">Secretary-General (see </w:t>
      </w:r>
      <w:r w:rsidRPr="00513A63">
        <w:rPr>
          <w:lang w:val="en-US" w:eastAsia="en-US"/>
        </w:rPr>
        <w:t xml:space="preserve">§ </w:t>
      </w:r>
      <w:r w:rsidR="007C20D1" w:rsidRPr="00513A63">
        <w:rPr>
          <w:lang w:val="en-US" w:eastAsia="en-US"/>
        </w:rPr>
        <w:t>25</w:t>
      </w:r>
      <w:r w:rsidRPr="00513A63">
        <w:rPr>
          <w:lang w:val="en-US" w:eastAsia="en-US"/>
        </w:rPr>
        <w:t xml:space="preserve"> </w:t>
      </w:r>
      <w:r w:rsidRPr="00513A63">
        <w:rPr>
          <w:lang w:val="en-US" w:eastAsia="ar-SA"/>
        </w:rPr>
        <w:t>above).</w:t>
      </w:r>
      <w:bookmarkEnd w:id="3"/>
    </w:p>
    <w:p w:rsidR="008A41E1" w:rsidRPr="00513A63" w:rsidRDefault="008A41E1" w:rsidP="008A41E1">
      <w:pPr>
        <w:pStyle w:val="Default"/>
        <w:tabs>
          <w:tab w:val="left" w:pos="450"/>
          <w:tab w:val="left" w:pos="540"/>
          <w:tab w:val="left" w:pos="720"/>
        </w:tabs>
        <w:ind w:left="450"/>
        <w:jc w:val="both"/>
        <w:rPr>
          <w:lang w:val="en-US" w:eastAsia="en-US"/>
        </w:rPr>
      </w:pPr>
    </w:p>
    <w:p w:rsidR="008A41E1" w:rsidRPr="00513A63" w:rsidRDefault="008A41E1" w:rsidP="008A41E1">
      <w:pPr>
        <w:pStyle w:val="Default"/>
        <w:numPr>
          <w:ilvl w:val="0"/>
          <w:numId w:val="10"/>
        </w:numPr>
        <w:tabs>
          <w:tab w:val="left" w:pos="450"/>
          <w:tab w:val="left" w:pos="540"/>
          <w:tab w:val="left" w:pos="720"/>
        </w:tabs>
        <w:ind w:hanging="450"/>
        <w:jc w:val="both"/>
        <w:rPr>
          <w:lang w:val="en-US" w:eastAsia="en-US"/>
        </w:rPr>
      </w:pPr>
      <w:r w:rsidRPr="00513A63">
        <w:t>In response to the SRSG’s objection that Article 2 must be interpreted in a way which does not impose an impossible or disproportionate burde</w:t>
      </w:r>
      <w:r w:rsidR="008E6A5C" w:rsidRPr="00513A63">
        <w:t>n on the authorities</w:t>
      </w:r>
      <w:r w:rsidRPr="00513A63">
        <w:t xml:space="preserve">, either in the context of policing activities or that of priorities and resources, the Panel takes into account that the European Court has established that what amounts to an impossible and/or disproportionate burden must be measured by the very particular facts and contexts (see ECtHR, </w:t>
      </w:r>
      <w:r w:rsidRPr="00513A63">
        <w:rPr>
          <w:i/>
        </w:rPr>
        <w:t>Palić v</w:t>
      </w:r>
      <w:r w:rsidR="008E6A5C" w:rsidRPr="00513A63">
        <w:rPr>
          <w:i/>
        </w:rPr>
        <w:t>.</w:t>
      </w:r>
      <w:r w:rsidRPr="00513A63">
        <w:rPr>
          <w:i/>
        </w:rPr>
        <w:t xml:space="preserve"> Bosnia and Herzegovina,</w:t>
      </w:r>
      <w:r w:rsidR="00197158" w:rsidRPr="00513A63">
        <w:t xml:space="preserve"> cited § 66</w:t>
      </w:r>
      <w:r w:rsidRPr="00513A63">
        <w:t xml:space="preserve"> above, </w:t>
      </w:r>
      <w:r w:rsidRPr="00513A63">
        <w:rPr>
          <w:i/>
        </w:rPr>
        <w:t>Brecknell v</w:t>
      </w:r>
      <w:r w:rsidR="008E6A5C" w:rsidRPr="00513A63">
        <w:rPr>
          <w:i/>
        </w:rPr>
        <w:t>.</w:t>
      </w:r>
      <w:r w:rsidRPr="00513A63">
        <w:rPr>
          <w:i/>
        </w:rPr>
        <w:t xml:space="preserve"> The United Kingdom,</w:t>
      </w:r>
      <w:r w:rsidRPr="00513A63">
        <w:t xml:space="preserve"> no. 324</w:t>
      </w:r>
      <w:r w:rsidR="0054783A" w:rsidRPr="00513A63">
        <w:t>57/04, 27 November 2007, § 70).</w:t>
      </w:r>
    </w:p>
    <w:p w:rsidR="002F2772" w:rsidRPr="0055507B" w:rsidRDefault="002F2772" w:rsidP="002F2772">
      <w:pPr>
        <w:pStyle w:val="ListParagraph"/>
      </w:pPr>
    </w:p>
    <w:p w:rsidR="006369DF" w:rsidRDefault="002F2772" w:rsidP="00183BF4">
      <w:pPr>
        <w:pStyle w:val="Default"/>
        <w:numPr>
          <w:ilvl w:val="0"/>
          <w:numId w:val="10"/>
        </w:numPr>
        <w:tabs>
          <w:tab w:val="left" w:pos="450"/>
          <w:tab w:val="left" w:pos="540"/>
          <w:tab w:val="left" w:pos="720"/>
        </w:tabs>
        <w:ind w:hanging="450"/>
        <w:jc w:val="both"/>
        <w:rPr>
          <w:rStyle w:val="sb8d990e2"/>
        </w:rPr>
      </w:pPr>
      <w:r w:rsidRPr="0055507B">
        <w:rPr>
          <w:rStyle w:val="sb8d990e2"/>
        </w:rPr>
        <w:t xml:space="preserve">The Panel </w:t>
      </w:r>
      <w:r w:rsidRPr="003E4FDB">
        <w:rPr>
          <w:lang w:val="en-US" w:eastAsia="nl-BE"/>
        </w:rPr>
        <w:t>further</w:t>
      </w:r>
      <w:r w:rsidRPr="0055507B">
        <w:rPr>
          <w:rStyle w:val="sb8d990e2"/>
        </w:rPr>
        <w:t xml:space="preserve"> notes that its task is not to review relevant practices or alleged obstacles to the conduct of effective investigations </w:t>
      </w:r>
      <w:r w:rsidRPr="0055507B">
        <w:rPr>
          <w:rStyle w:val="s6b621b36"/>
          <w:i/>
        </w:rPr>
        <w:t xml:space="preserve">in </w:t>
      </w:r>
      <w:r w:rsidRPr="0055507B">
        <w:rPr>
          <w:rStyle w:val="wordhighlighted"/>
          <w:i/>
        </w:rPr>
        <w:t>abstracto</w:t>
      </w:r>
      <w:r w:rsidRPr="0055507B">
        <w:rPr>
          <w:rStyle w:val="sb8d990e2"/>
        </w:rPr>
        <w:t xml:space="preserve">, but only in relation to their specific application to the particular circumstances of a situation subject of a complaint before it (see ECHR, </w:t>
      </w:r>
      <w:r w:rsidRPr="0055507B">
        <w:rPr>
          <w:rStyle w:val="s6b621b36"/>
          <w:i/>
        </w:rPr>
        <w:t>Brogan and Others v. the United Kingdom</w:t>
      </w:r>
      <w:r w:rsidRPr="0055507B">
        <w:rPr>
          <w:rStyle w:val="sb8d990e2"/>
        </w:rPr>
        <w:t>, nos.</w:t>
      </w:r>
      <w:r w:rsidRPr="0055507B">
        <w:t xml:space="preserve"> </w:t>
      </w:r>
      <w:r w:rsidRPr="0055507B">
        <w:rPr>
          <w:rStyle w:val="column01"/>
        </w:rPr>
        <w:t>11209/84, 11234/84, 11266/84, 11386/85, judgment of</w:t>
      </w:r>
      <w:r w:rsidRPr="0055507B">
        <w:rPr>
          <w:rStyle w:val="sb8d990e2"/>
        </w:rPr>
        <w:t xml:space="preserve"> 29 November 1988,</w:t>
      </w:r>
      <w:r w:rsidRPr="0055507B">
        <w:t xml:space="preserve"> </w:t>
      </w:r>
      <w:r w:rsidRPr="0055507B">
        <w:rPr>
          <w:rStyle w:val="sb8d990e2"/>
        </w:rPr>
        <w:t xml:space="preserve">§ 53, Series A no. 145 B). </w:t>
      </w:r>
      <w:r w:rsidRPr="0055507B">
        <w:t xml:space="preserve">The Panel thus agrees with the SRSG that the nature and degree of scrutiny to determine whether the effectiveness of the investigation satisfies the minimum threshold depends on the circumstances of the particular case. </w:t>
      </w:r>
      <w:r w:rsidRPr="0055507B">
        <w:rPr>
          <w:rStyle w:val="sb8d990e2"/>
        </w:rPr>
        <w:t>For these reasons, the Panel considers that it will establish with regard to each case if all reasonable steps were taken to conduct an effective investigation as prescribed by Article 2,</w:t>
      </w:r>
      <w:r w:rsidRPr="0055507B">
        <w:t xml:space="preserve"> </w:t>
      </w:r>
      <w:r w:rsidRPr="0055507B">
        <w:rPr>
          <w:rStyle w:val="sb8d990e2"/>
        </w:rPr>
        <w:t xml:space="preserve">having regard to the realities of the investigative work in Kosovo. </w:t>
      </w:r>
    </w:p>
    <w:p w:rsidR="006369DF" w:rsidRDefault="006369DF" w:rsidP="006369DF">
      <w:pPr>
        <w:pStyle w:val="ListParagraph"/>
        <w:rPr>
          <w:rStyle w:val="sb8d990e2"/>
        </w:rPr>
      </w:pPr>
    </w:p>
    <w:p w:rsidR="006369DF" w:rsidRPr="00C5345A" w:rsidRDefault="006369DF" w:rsidP="00183BF4">
      <w:pPr>
        <w:pStyle w:val="ListParagraph"/>
        <w:numPr>
          <w:ilvl w:val="0"/>
          <w:numId w:val="8"/>
        </w:numPr>
        <w:ind w:left="360"/>
        <w:jc w:val="both"/>
        <w:rPr>
          <w:i/>
          <w:color w:val="000000"/>
          <w:lang w:val="en-US" w:eastAsia="en-US"/>
        </w:rPr>
      </w:pPr>
      <w:r>
        <w:rPr>
          <w:i/>
          <w:color w:val="000000"/>
          <w:lang w:val="en-US" w:eastAsia="en-US"/>
        </w:rPr>
        <w:t xml:space="preserve"> </w:t>
      </w:r>
      <w:r w:rsidRPr="00C5345A">
        <w:rPr>
          <w:i/>
          <w:color w:val="000000"/>
          <w:lang w:val="en-US" w:eastAsia="en-US"/>
        </w:rPr>
        <w:t>Compliance with Article 2 in the present case</w:t>
      </w:r>
    </w:p>
    <w:p w:rsidR="005C28D4" w:rsidRPr="005C28D4" w:rsidRDefault="005C28D4" w:rsidP="00AB481D">
      <w:pPr>
        <w:pStyle w:val="Default"/>
        <w:tabs>
          <w:tab w:val="left" w:pos="450"/>
          <w:tab w:val="left" w:pos="540"/>
          <w:tab w:val="left" w:pos="720"/>
        </w:tabs>
        <w:suppressAutoHyphens/>
        <w:jc w:val="both"/>
        <w:rPr>
          <w:lang w:val="en-US" w:eastAsia="en-US"/>
        </w:rPr>
      </w:pPr>
    </w:p>
    <w:p w:rsidR="0064621A" w:rsidRPr="004C7DAB" w:rsidRDefault="00920F5B" w:rsidP="0064621A">
      <w:pPr>
        <w:pStyle w:val="Default"/>
        <w:numPr>
          <w:ilvl w:val="0"/>
          <w:numId w:val="10"/>
        </w:numPr>
        <w:tabs>
          <w:tab w:val="left" w:pos="450"/>
          <w:tab w:val="left" w:pos="540"/>
          <w:tab w:val="left" w:pos="720"/>
        </w:tabs>
        <w:ind w:hanging="450"/>
        <w:jc w:val="both"/>
        <w:rPr>
          <w:lang w:val="en-US" w:eastAsia="en-US"/>
        </w:rPr>
      </w:pPr>
      <w:r w:rsidRPr="004C7DAB">
        <w:t>T</w:t>
      </w:r>
      <w:r w:rsidR="00A74548" w:rsidRPr="004C7DAB">
        <w:t>he SRSG states that an effective investigation was carried out in relation to the abduction and</w:t>
      </w:r>
      <w:r w:rsidR="00D37EF6" w:rsidRPr="004C7DAB">
        <w:t xml:space="preserve"> </w:t>
      </w:r>
      <w:r w:rsidR="00513A63" w:rsidRPr="004C7DAB">
        <w:t>death</w:t>
      </w:r>
      <w:r w:rsidR="00A74548" w:rsidRPr="004C7DAB">
        <w:t xml:space="preserve"> of </w:t>
      </w:r>
      <w:r w:rsidR="005C28D4" w:rsidRPr="004C7DAB">
        <w:t>Dušan Bogićević</w:t>
      </w:r>
      <w:r w:rsidR="00A74548" w:rsidRPr="004C7DAB">
        <w:t>; however, the leads followed did not result in</w:t>
      </w:r>
      <w:r w:rsidRPr="004C7DAB">
        <w:t xml:space="preserve"> identifying the perpetrators and bringing them to justice.</w:t>
      </w:r>
      <w:r w:rsidR="00A74548" w:rsidRPr="004C7DAB">
        <w:t xml:space="preserve"> </w:t>
      </w:r>
      <w:r w:rsidR="00A74548" w:rsidRPr="004C7DAB">
        <w:rPr>
          <w:lang w:val="en-US" w:eastAsia="en-US"/>
        </w:rPr>
        <w:t xml:space="preserve">The SRSG also states that as a result of the investigation, </w:t>
      </w:r>
      <w:r w:rsidR="005C28D4" w:rsidRPr="004C7DAB">
        <w:t>Dušan Bogićević</w:t>
      </w:r>
      <w:r w:rsidR="00A74548" w:rsidRPr="004C7DAB">
        <w:t>’s mortal remains were ev</w:t>
      </w:r>
      <w:r w:rsidR="00D37EF6" w:rsidRPr="004C7DAB">
        <w:t>entually located and identified</w:t>
      </w:r>
      <w:r w:rsidR="00513A63" w:rsidRPr="004C7DAB">
        <w:t>.</w:t>
      </w:r>
    </w:p>
    <w:p w:rsidR="0064621A" w:rsidRDefault="0064621A" w:rsidP="0064621A">
      <w:pPr>
        <w:pStyle w:val="ListParagraph"/>
      </w:pPr>
    </w:p>
    <w:p w:rsidR="0064621A" w:rsidRPr="004C7DAB" w:rsidRDefault="0064621A" w:rsidP="0064621A">
      <w:pPr>
        <w:pStyle w:val="Default"/>
        <w:numPr>
          <w:ilvl w:val="0"/>
          <w:numId w:val="10"/>
        </w:numPr>
        <w:tabs>
          <w:tab w:val="left" w:pos="450"/>
          <w:tab w:val="left" w:pos="540"/>
          <w:tab w:val="left" w:pos="720"/>
        </w:tabs>
        <w:ind w:hanging="450"/>
        <w:jc w:val="both"/>
        <w:rPr>
          <w:lang w:val="en-US" w:eastAsia="en-US"/>
        </w:rPr>
      </w:pPr>
      <w:r w:rsidRPr="004C7DAB">
        <w:t>T</w:t>
      </w:r>
      <w:r w:rsidR="00AB481D" w:rsidRPr="004C7DAB">
        <w:t>he complainant states that her brother</w:t>
      </w:r>
      <w:r w:rsidRPr="004C7DAB">
        <w:t>’s abduction was reported promptly</w:t>
      </w:r>
      <w:r w:rsidR="008A41E1" w:rsidRPr="004C7DAB">
        <w:t xml:space="preserve"> to</w:t>
      </w:r>
      <w:r w:rsidRPr="004C7DAB">
        <w:t xml:space="preserve"> KFOR, ICRC and UNMIK. Lacking specific documentation in this regard, the Panel considers that UNMIK became aware of </w:t>
      </w:r>
      <w:r w:rsidR="00AB481D" w:rsidRPr="004C7DAB">
        <w:t>Dušan Bogićević</w:t>
      </w:r>
      <w:r w:rsidRPr="004C7DAB">
        <w:t xml:space="preserve">’s abduction </w:t>
      </w:r>
      <w:r w:rsidR="00AB481D" w:rsidRPr="004C7DAB">
        <w:t>at the latest in October</w:t>
      </w:r>
      <w:r w:rsidRPr="004C7DAB">
        <w:t xml:space="preserve"> </w:t>
      </w:r>
      <w:r w:rsidR="00AB481D" w:rsidRPr="004C7DAB">
        <w:t>2001</w:t>
      </w:r>
      <w:r w:rsidRPr="004C7DAB">
        <w:t xml:space="preserve">. </w:t>
      </w:r>
      <w:r w:rsidR="004C7DAB" w:rsidRPr="004C7DAB">
        <w:t>At this time</w:t>
      </w:r>
      <w:r w:rsidRPr="004C7DAB">
        <w:t xml:space="preserve">, </w:t>
      </w:r>
      <w:r w:rsidR="00AB481D" w:rsidRPr="004C7DAB">
        <w:t xml:space="preserve">the ICRC had reported Dušan Bogićević as missing to </w:t>
      </w:r>
      <w:r w:rsidRPr="004C7DAB">
        <w:t xml:space="preserve"> </w:t>
      </w:r>
      <w:r w:rsidR="008A41E1" w:rsidRPr="004C7DAB">
        <w:t xml:space="preserve">UNMIK </w:t>
      </w:r>
      <w:r w:rsidR="00AB481D" w:rsidRPr="004C7DAB">
        <w:t xml:space="preserve">and an </w:t>
      </w:r>
      <w:r w:rsidRPr="004C7DAB">
        <w:t xml:space="preserve">investigation had been opened by the MPU of UNMIK Police. </w:t>
      </w:r>
    </w:p>
    <w:p w:rsidR="0064621A" w:rsidRDefault="0064621A" w:rsidP="0064621A">
      <w:pPr>
        <w:pStyle w:val="ListParagraph"/>
      </w:pPr>
    </w:p>
    <w:p w:rsidR="001A06A3" w:rsidRPr="004C7DAB" w:rsidRDefault="0064621A" w:rsidP="001A06A3">
      <w:pPr>
        <w:pStyle w:val="Default"/>
        <w:numPr>
          <w:ilvl w:val="0"/>
          <w:numId w:val="10"/>
        </w:numPr>
        <w:tabs>
          <w:tab w:val="left" w:pos="450"/>
          <w:tab w:val="left" w:pos="540"/>
          <w:tab w:val="left" w:pos="720"/>
        </w:tabs>
        <w:ind w:hanging="450"/>
        <w:jc w:val="both"/>
        <w:rPr>
          <w:lang w:val="en-US" w:eastAsia="en-US"/>
        </w:rPr>
      </w:pPr>
      <w:r w:rsidRPr="004C7DAB">
        <w:t xml:space="preserve">The Panel notes that there were obvious shortcomings in the conduct of the investigation from its inception. However, in </w:t>
      </w:r>
      <w:r w:rsidRPr="004C7DAB">
        <w:rPr>
          <w:lang w:val="en-US" w:eastAsia="en-US"/>
        </w:rPr>
        <w:t xml:space="preserve">light of the considerations developed above concerning its limited temporal jurisdiction (see § </w:t>
      </w:r>
      <w:r w:rsidR="00197158" w:rsidRPr="004C7DAB">
        <w:rPr>
          <w:lang w:val="en-US" w:eastAsia="en-US"/>
        </w:rPr>
        <w:t>43</w:t>
      </w:r>
      <w:r w:rsidRPr="004C7DAB">
        <w:rPr>
          <w:lang w:val="en-US" w:eastAsia="en-US"/>
        </w:rPr>
        <w:t xml:space="preserve">), the Panel recalls that it is competent </w:t>
      </w:r>
      <w:r w:rsidRPr="004C7DAB">
        <w:rPr>
          <w:i/>
          <w:lang w:val="en-US" w:eastAsia="en-US"/>
        </w:rPr>
        <w:t>ratione temporis</w:t>
      </w:r>
      <w:r w:rsidRPr="004C7DAB">
        <w:rPr>
          <w:lang w:val="en-US" w:eastAsia="en-US"/>
        </w:rPr>
        <w:t xml:space="preserve"> to evaluate the compliance of the investigation with Article 2 of the ECHR only for the period after 23 April 2005, </w:t>
      </w:r>
      <w:r w:rsidRPr="004C7DAB">
        <w:t xml:space="preserve">while taking into consideration the state of the case at that date (ECtHR, </w:t>
      </w:r>
      <w:r w:rsidRPr="004C7DAB">
        <w:rPr>
          <w:i/>
        </w:rPr>
        <w:t>Palić v. Bosnia and Herzegovina</w:t>
      </w:r>
      <w:r w:rsidRPr="004C7DAB">
        <w:t xml:space="preserve">, cited </w:t>
      </w:r>
      <w:r w:rsidRPr="004C7DAB">
        <w:rPr>
          <w:lang w:eastAsia="en-US"/>
        </w:rPr>
        <w:t>in</w:t>
      </w:r>
      <w:r w:rsidRPr="004C7DAB">
        <w:t xml:space="preserve"> § </w:t>
      </w:r>
      <w:r w:rsidR="00197158" w:rsidRPr="004C7DAB">
        <w:t>66</w:t>
      </w:r>
      <w:r w:rsidRPr="004C7DAB">
        <w:t xml:space="preserve"> above, at § 70)</w:t>
      </w:r>
      <w:r w:rsidRPr="004C7DAB">
        <w:rPr>
          <w:lang w:val="en-US" w:eastAsia="en-US"/>
        </w:rPr>
        <w:t xml:space="preserve">. The period under review ends on 9 December 2008, with EULEX taking over responsibility in the area of administration of justice (see § </w:t>
      </w:r>
      <w:r w:rsidR="009903D6" w:rsidRPr="004C7DAB">
        <w:rPr>
          <w:lang w:val="en-US" w:eastAsia="en-US"/>
        </w:rPr>
        <w:t>19</w:t>
      </w:r>
      <w:r w:rsidRPr="004C7DAB">
        <w:rPr>
          <w:lang w:val="en-US" w:eastAsia="en-US"/>
        </w:rPr>
        <w:t xml:space="preserve"> above). </w:t>
      </w:r>
    </w:p>
    <w:p w:rsidR="001A06A3" w:rsidRPr="004C7DAB" w:rsidRDefault="001A06A3" w:rsidP="001A06A3">
      <w:pPr>
        <w:pStyle w:val="ListParagraph"/>
      </w:pPr>
    </w:p>
    <w:p w:rsidR="00357878" w:rsidRPr="004C7DAB" w:rsidRDefault="001A06A3" w:rsidP="00357878">
      <w:pPr>
        <w:pStyle w:val="Default"/>
        <w:numPr>
          <w:ilvl w:val="0"/>
          <w:numId w:val="10"/>
        </w:numPr>
        <w:tabs>
          <w:tab w:val="left" w:pos="450"/>
          <w:tab w:val="left" w:pos="540"/>
          <w:tab w:val="left" w:pos="720"/>
        </w:tabs>
        <w:ind w:hanging="450"/>
        <w:jc w:val="both"/>
        <w:rPr>
          <w:lang w:val="en-US" w:eastAsia="en-US"/>
        </w:rPr>
      </w:pPr>
      <w:r w:rsidRPr="004C7DAB">
        <w:t>The Panel notes that from the moment UNMIK became aware of the matter until 22 June 2006, the only actions undertaken by UNMIK relate to</w:t>
      </w:r>
      <w:r w:rsidR="00396C5D" w:rsidRPr="004C7DAB">
        <w:t xml:space="preserve"> gathering ante-mortem data and to</w:t>
      </w:r>
      <w:r w:rsidRPr="004C7DAB">
        <w:t xml:space="preserve"> the exhumation, identification and handing over of Dušan Bogićević’s mortal remains, which were carried out between June 2006 and March 2007. Although this must be considered in itself an important achievement, the Panel recalls that the procedural obligation under Article 2 did not come to an end with the discovery of the body, especially as it showed signs of a possible violent death. Nonetheless, there is no evidence that any action was undertaken with respect to clarifying the circumstances surrounding </w:t>
      </w:r>
      <w:r w:rsidR="00847EF3" w:rsidRPr="004C7DAB">
        <w:t>Dušan Bogićević’s abduction</w:t>
      </w:r>
      <w:r w:rsidR="008B0698">
        <w:t xml:space="preserve"> and death</w:t>
      </w:r>
      <w:r w:rsidRPr="004C7DAB">
        <w:rPr>
          <w:color w:val="FF0000"/>
        </w:rPr>
        <w:t>.</w:t>
      </w:r>
    </w:p>
    <w:p w:rsidR="00357878" w:rsidRDefault="00357878" w:rsidP="00357878">
      <w:pPr>
        <w:pStyle w:val="ListParagraph"/>
      </w:pPr>
    </w:p>
    <w:p w:rsidR="00690ED1" w:rsidRPr="004C7DAB" w:rsidRDefault="001A06A3" w:rsidP="008E374A">
      <w:pPr>
        <w:pStyle w:val="Default"/>
        <w:numPr>
          <w:ilvl w:val="0"/>
          <w:numId w:val="10"/>
        </w:numPr>
        <w:tabs>
          <w:tab w:val="left" w:pos="450"/>
          <w:tab w:val="left" w:pos="540"/>
          <w:tab w:val="left" w:pos="720"/>
        </w:tabs>
        <w:ind w:hanging="450"/>
        <w:jc w:val="both"/>
        <w:rPr>
          <w:lang w:val="en-US" w:eastAsia="en-US"/>
        </w:rPr>
      </w:pPr>
      <w:r w:rsidRPr="004C7DAB">
        <w:t>In particular, there is no indication that UNMIK Police undertook in this respect a</w:t>
      </w:r>
      <w:r w:rsidR="00DA75C9" w:rsidRPr="004C7DAB">
        <w:t xml:space="preserve">ny investigative steps such as </w:t>
      </w:r>
      <w:r w:rsidRPr="004C7DAB">
        <w:t>interviewing the compla</w:t>
      </w:r>
      <w:r w:rsidR="00396C5D" w:rsidRPr="004C7DAB">
        <w:t xml:space="preserve">inant and other family members and </w:t>
      </w:r>
      <w:r w:rsidR="00690ED1" w:rsidRPr="004C7DAB">
        <w:t>interviewing potential witnesses</w:t>
      </w:r>
      <w:r w:rsidR="0054783A" w:rsidRPr="004C7DAB">
        <w:t xml:space="preserve">. In this regard, the Panel notes that the names of two potential eye-witneses, Mr D.P. and Mr T.K., were provided to UNMIK Police. </w:t>
      </w:r>
      <w:r w:rsidR="004C7DAB" w:rsidRPr="004C7DAB">
        <w:t>However</w:t>
      </w:r>
      <w:r w:rsidR="00F00761" w:rsidRPr="004C7DAB">
        <w:t>,</w:t>
      </w:r>
      <w:r w:rsidR="0054783A" w:rsidRPr="004C7DAB">
        <w:t xml:space="preserve"> there is no indication</w:t>
      </w:r>
      <w:r w:rsidR="00F00761" w:rsidRPr="004C7DAB">
        <w:t xml:space="preserve"> that UNMIK made any attempt to </w:t>
      </w:r>
      <w:r w:rsidRPr="004C7DAB">
        <w:t>locate</w:t>
      </w:r>
      <w:r w:rsidR="00F00761" w:rsidRPr="004C7DAB">
        <w:t xml:space="preserve"> and interview these two individuals. </w:t>
      </w:r>
    </w:p>
    <w:p w:rsidR="00690ED1" w:rsidRDefault="00690ED1" w:rsidP="00690ED1">
      <w:pPr>
        <w:pStyle w:val="ListParagraph"/>
      </w:pPr>
    </w:p>
    <w:p w:rsidR="008E374A" w:rsidRPr="004C7DAB" w:rsidRDefault="008A41E1" w:rsidP="008E374A">
      <w:pPr>
        <w:pStyle w:val="Default"/>
        <w:numPr>
          <w:ilvl w:val="0"/>
          <w:numId w:val="10"/>
        </w:numPr>
        <w:tabs>
          <w:tab w:val="left" w:pos="450"/>
          <w:tab w:val="left" w:pos="540"/>
          <w:tab w:val="left" w:pos="720"/>
        </w:tabs>
        <w:ind w:hanging="450"/>
        <w:jc w:val="both"/>
        <w:rPr>
          <w:lang w:val="en-US" w:eastAsia="en-US"/>
        </w:rPr>
      </w:pPr>
      <w:r w:rsidRPr="004C7DAB">
        <w:t>Coming to the period within its jurisdiction, starting from 23 April 2005, the Panel notes that</w:t>
      </w:r>
      <w:r w:rsidR="00DA75C9" w:rsidRPr="004C7DAB">
        <w:t xml:space="preserve"> those</w:t>
      </w:r>
      <w:r w:rsidRPr="004C7DAB">
        <w:t xml:space="preserve"> basic investigative steps</w:t>
      </w:r>
      <w:r w:rsidR="004C7DAB" w:rsidRPr="004C7DAB">
        <w:t>,</w:t>
      </w:r>
      <w:r w:rsidR="002D14D1" w:rsidRPr="004C7DAB">
        <w:t xml:space="preserve"> had not</w:t>
      </w:r>
      <w:r w:rsidRPr="004C7DAB">
        <w:t xml:space="preserve"> been carried out. </w:t>
      </w:r>
      <w:r w:rsidR="001A06A3" w:rsidRPr="004C7DAB">
        <w:rPr>
          <w:lang w:val="en-GB"/>
        </w:rPr>
        <w:t>After</w:t>
      </w:r>
      <w:r w:rsidR="001A06A3" w:rsidRPr="004C7DAB">
        <w:t xml:space="preserve"> that critical date the failure to conduct the necessary investigative actions persisted, thus, in accordance with the continuing obligation to investigate </w:t>
      </w:r>
      <w:r w:rsidR="001A06A3" w:rsidRPr="004C7DAB">
        <w:rPr>
          <w:lang w:val="en-GB"/>
        </w:rPr>
        <w:t xml:space="preserve">(see § </w:t>
      </w:r>
      <w:r w:rsidR="009903D6" w:rsidRPr="004C7DAB">
        <w:rPr>
          <w:lang w:val="en-GB"/>
        </w:rPr>
        <w:t>6</w:t>
      </w:r>
      <w:r w:rsidR="009903D6" w:rsidRPr="004C7DAB">
        <w:t>8</w:t>
      </w:r>
      <w:r w:rsidR="001A06A3" w:rsidRPr="004C7DAB">
        <w:rPr>
          <w:lang w:val="en-GB"/>
        </w:rPr>
        <w:t xml:space="preserve"> above)</w:t>
      </w:r>
      <w:r w:rsidR="001A06A3" w:rsidRPr="004C7DAB">
        <w:t>, bringing the assessment of the whole investigation within the period of the Panel</w:t>
      </w:r>
      <w:r w:rsidR="00690ED1" w:rsidRPr="004C7DAB">
        <w:t>’</w:t>
      </w:r>
      <w:r w:rsidR="001A06A3" w:rsidRPr="004C7DAB">
        <w:t>s jurisdiction</w:t>
      </w:r>
      <w:r w:rsidR="00690ED1" w:rsidRPr="004C7DAB">
        <w:t xml:space="preserve">. </w:t>
      </w:r>
    </w:p>
    <w:p w:rsidR="008E374A" w:rsidRDefault="008E374A" w:rsidP="008E374A">
      <w:pPr>
        <w:pStyle w:val="ListParagraph"/>
      </w:pPr>
    </w:p>
    <w:p w:rsidR="008E374A" w:rsidRPr="008E374A" w:rsidRDefault="001A06A3" w:rsidP="008E374A">
      <w:pPr>
        <w:pStyle w:val="Default"/>
        <w:numPr>
          <w:ilvl w:val="0"/>
          <w:numId w:val="10"/>
        </w:numPr>
        <w:tabs>
          <w:tab w:val="left" w:pos="450"/>
          <w:tab w:val="left" w:pos="540"/>
          <w:tab w:val="left" w:pos="720"/>
        </w:tabs>
        <w:ind w:hanging="450"/>
        <w:jc w:val="both"/>
        <w:rPr>
          <w:lang w:val="en-US" w:eastAsia="en-US"/>
        </w:rPr>
      </w:pPr>
      <w:r w:rsidRPr="008E374A">
        <w:t>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w:t>
      </w:r>
      <w:r w:rsidRPr="00A5537A">
        <w:t xml:space="preserve"> well</w:t>
      </w:r>
      <w:r w:rsidRPr="008E374A">
        <w:rPr>
          <w:b/>
          <w:color w:val="0000CC"/>
        </w:rPr>
        <w:t xml:space="preserve"> </w:t>
      </w:r>
      <w:r w:rsidRPr="00A5537A">
        <w:t>as to inform the relatives of</w:t>
      </w:r>
      <w:r w:rsidRPr="008E374A">
        <w:rPr>
          <w:b/>
          <w:color w:val="0000CC"/>
        </w:rPr>
        <w:t xml:space="preserve"> </w:t>
      </w:r>
      <w:r w:rsidR="008E374A" w:rsidRPr="00A06BA7">
        <w:t>Dušan Bogićević</w:t>
      </w:r>
      <w:r w:rsidR="008E374A" w:rsidRPr="008E374A">
        <w:t xml:space="preserve"> </w:t>
      </w:r>
      <w:r w:rsidRPr="008E374A">
        <w:t>regarding any possible new leads of enquiry. However, there is no indication that any such review was ever undertaken.</w:t>
      </w:r>
    </w:p>
    <w:p w:rsidR="008E374A" w:rsidRDefault="008E374A" w:rsidP="008E374A">
      <w:pPr>
        <w:pStyle w:val="ListParagraph"/>
        <w:rPr>
          <w:bCs/>
        </w:rPr>
      </w:pPr>
    </w:p>
    <w:p w:rsidR="004C7DAB" w:rsidRPr="004C7DAB" w:rsidRDefault="001A06A3" w:rsidP="004C7DAB">
      <w:pPr>
        <w:pStyle w:val="Default"/>
        <w:numPr>
          <w:ilvl w:val="0"/>
          <w:numId w:val="10"/>
        </w:numPr>
        <w:tabs>
          <w:tab w:val="left" w:pos="450"/>
          <w:tab w:val="left" w:pos="540"/>
          <w:tab w:val="left" w:pos="720"/>
        </w:tabs>
        <w:ind w:hanging="450"/>
        <w:jc w:val="both"/>
        <w:rPr>
          <w:lang w:val="en-US" w:eastAsia="en-US"/>
        </w:rPr>
      </w:pPr>
      <w:r w:rsidRPr="008E374A">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4C7DAB" w:rsidRDefault="004C7DAB" w:rsidP="004C7DAB">
      <w:pPr>
        <w:pStyle w:val="ListParagraph"/>
      </w:pPr>
    </w:p>
    <w:p w:rsidR="004C7DAB" w:rsidRPr="004C7DAB" w:rsidRDefault="004C7DAB" w:rsidP="004C7DAB">
      <w:pPr>
        <w:pStyle w:val="Default"/>
        <w:numPr>
          <w:ilvl w:val="0"/>
          <w:numId w:val="10"/>
        </w:numPr>
        <w:tabs>
          <w:tab w:val="left" w:pos="450"/>
          <w:tab w:val="left" w:pos="540"/>
          <w:tab w:val="left" w:pos="720"/>
        </w:tabs>
        <w:ind w:hanging="450"/>
        <w:jc w:val="both"/>
        <w:rPr>
          <w:lang w:val="en-US" w:eastAsia="en-US"/>
        </w:rPr>
      </w:pPr>
      <w:r w:rsidRPr="00A5537A">
        <w:t xml:space="preserve">The Panel therefore considers that, having regard to all the circumstances of the particular case, no steps appear to have been taken by UNMIK to clarify the circumstances of </w:t>
      </w:r>
      <w:r w:rsidRPr="00A06BA7">
        <w:t>Dušan Bogićević</w:t>
      </w:r>
      <w:r w:rsidRPr="008E374A">
        <w:t xml:space="preserve"> </w:t>
      </w:r>
      <w:r>
        <w:t xml:space="preserve">’s abduction and death </w:t>
      </w:r>
      <w:r w:rsidRPr="00A5537A">
        <w:t>and</w:t>
      </w:r>
      <w:r>
        <w:t xml:space="preserve"> to</w:t>
      </w:r>
      <w:r w:rsidRPr="00A5537A">
        <w:t xml:space="preserve"> bring any perpetrators to justice. In this sense the Panel considers that the investigation was not adequate and did not comply with the requirements of promptness, expedition and effectiveness (see § </w:t>
      </w:r>
      <w:r>
        <w:t>66</w:t>
      </w:r>
      <w:r w:rsidRPr="00A5537A">
        <w:t xml:space="preserve"> above), as required by Article 2.</w:t>
      </w:r>
    </w:p>
    <w:p w:rsidR="00E64290" w:rsidRDefault="00E64290" w:rsidP="008A41E1"/>
    <w:p w:rsidR="00E64290" w:rsidRPr="004C7DAB" w:rsidRDefault="00E64290" w:rsidP="00E64290">
      <w:pPr>
        <w:pStyle w:val="Default"/>
        <w:numPr>
          <w:ilvl w:val="0"/>
          <w:numId w:val="10"/>
        </w:numPr>
        <w:tabs>
          <w:tab w:val="left" w:pos="450"/>
          <w:tab w:val="left" w:pos="540"/>
          <w:tab w:val="left" w:pos="720"/>
        </w:tabs>
        <w:ind w:hanging="450"/>
        <w:jc w:val="both"/>
        <w:rPr>
          <w:lang w:val="en-US" w:eastAsia="en-US"/>
        </w:rPr>
      </w:pPr>
      <w:r w:rsidRPr="004C7DAB">
        <w:t>As concerns the requirement of public scrutiny, the Panel recalls that Article 2 also requires the victim's next-of-kin to be involved in the investigation to the extent necessary to safeguard his or her legitimate interests. In this regard</w:t>
      </w:r>
      <w:r w:rsidRPr="004C7DAB">
        <w:rPr>
          <w:lang w:val="en-GB"/>
        </w:rPr>
        <w:t xml:space="preserve">, the complainant claims that </w:t>
      </w:r>
      <w:r w:rsidR="008A41E1" w:rsidRPr="004C7DAB">
        <w:rPr>
          <w:lang w:val="en-GB"/>
        </w:rPr>
        <w:t>s</w:t>
      </w:r>
      <w:r w:rsidRPr="004C7DAB">
        <w:rPr>
          <w:lang w:val="en-GB"/>
        </w:rPr>
        <w:t>he was never informed about the steps taken by the investigators.</w:t>
      </w:r>
      <w:r w:rsidRPr="004C7DAB">
        <w:t xml:space="preserve"> </w:t>
      </w:r>
      <w:r w:rsidRPr="004C7DAB">
        <w:rPr>
          <w:lang w:val="en-GB"/>
        </w:rPr>
        <w:t xml:space="preserve">The Panel notes that </w:t>
      </w:r>
      <w:r w:rsidR="00212046" w:rsidRPr="004C7DAB">
        <w:rPr>
          <w:lang w:val="en-GB"/>
        </w:rPr>
        <w:t xml:space="preserve">UNMIK communicated with </w:t>
      </w:r>
      <w:r w:rsidRPr="004C7DAB">
        <w:rPr>
          <w:lang w:val="en-GB"/>
        </w:rPr>
        <w:t>the complainant</w:t>
      </w:r>
      <w:r w:rsidR="00212046" w:rsidRPr="004C7DAB">
        <w:rPr>
          <w:lang w:val="en-GB"/>
        </w:rPr>
        <w:t xml:space="preserve"> and other family members only when gathering ante-mortem data concerning </w:t>
      </w:r>
      <w:r w:rsidR="00212046" w:rsidRPr="004C7DAB">
        <w:t xml:space="preserve">Dušan Bogićević and with respect to </w:t>
      </w:r>
      <w:r w:rsidRPr="004C7DAB">
        <w:t>recovery, h</w:t>
      </w:r>
      <w:r w:rsidR="00212046" w:rsidRPr="004C7DAB">
        <w:t>andover and burial of his</w:t>
      </w:r>
      <w:r w:rsidR="00DA75C9" w:rsidRPr="004C7DAB">
        <w:t xml:space="preserve"> mortal remains</w:t>
      </w:r>
      <w:r w:rsidRPr="004C7DAB">
        <w:t>. As the Panel has already noted, no statement was ever taken from the complainant</w:t>
      </w:r>
      <w:r w:rsidR="00212046" w:rsidRPr="004C7DAB">
        <w:t xml:space="preserve"> or from other family members</w:t>
      </w:r>
      <w:r w:rsidRPr="004C7DAB">
        <w:t xml:space="preserve"> and</w:t>
      </w:r>
      <w:r w:rsidR="00212046" w:rsidRPr="004C7DAB">
        <w:t xml:space="preserve"> no information was given to them</w:t>
      </w:r>
      <w:r w:rsidRPr="004C7DAB">
        <w:t xml:space="preserve"> concerning the status of the investigation.</w:t>
      </w:r>
    </w:p>
    <w:p w:rsidR="00E64290" w:rsidRDefault="00E64290" w:rsidP="00E64290">
      <w:pPr>
        <w:pStyle w:val="ListParagraph"/>
      </w:pPr>
    </w:p>
    <w:p w:rsidR="00E64290" w:rsidRPr="00E64290" w:rsidRDefault="00E64290" w:rsidP="00E64290">
      <w:pPr>
        <w:pStyle w:val="Default"/>
        <w:numPr>
          <w:ilvl w:val="0"/>
          <w:numId w:val="10"/>
        </w:numPr>
        <w:tabs>
          <w:tab w:val="left" w:pos="450"/>
          <w:tab w:val="left" w:pos="540"/>
          <w:tab w:val="left" w:pos="720"/>
        </w:tabs>
        <w:ind w:hanging="450"/>
        <w:jc w:val="both"/>
        <w:rPr>
          <w:lang w:val="en-US" w:eastAsia="en-US"/>
        </w:rPr>
      </w:pPr>
      <w:r w:rsidRPr="00A5537A">
        <w:rPr>
          <w:lang w:val="en-GB"/>
        </w:rPr>
        <w:t xml:space="preserve">The Panel understands the complainant’s view that the extent of the information received was unsatisfactory. The Panel is also aware that in all cases, the victim’s next-of-kin must be involved in the </w:t>
      </w:r>
      <w:r w:rsidRPr="00A5537A">
        <w:t>procedure</w:t>
      </w:r>
      <w:r w:rsidRPr="00A5537A">
        <w:rPr>
          <w:lang w:val="en-GB"/>
        </w:rPr>
        <w:t xml:space="preserve"> to the extent necessary to safeguard his or her legitimate interest (see ECtHR [GC], </w:t>
      </w:r>
      <w:r w:rsidRPr="00E64290">
        <w:rPr>
          <w:i/>
          <w:lang w:val="en-GB"/>
        </w:rPr>
        <w:t>Tahsin Acar v Turkey,</w:t>
      </w:r>
      <w:r w:rsidRPr="00A5537A">
        <w:rPr>
          <w:lang w:val="en-GB"/>
        </w:rPr>
        <w:t xml:space="preserve"> no. 26307/95, judgment of 8 April 2004, § 226, </w:t>
      </w:r>
      <w:r w:rsidRPr="00A5537A">
        <w:t>ECHR 2004-III</w:t>
      </w:r>
      <w:r w:rsidRPr="00A5537A">
        <w:rPr>
          <w:lang w:val="en-GB"/>
        </w:rPr>
        <w:t xml:space="preserve">; ECtHR, </w:t>
      </w:r>
      <w:r w:rsidRPr="00E64290">
        <w:rPr>
          <w:i/>
          <w:lang w:val="en-GB"/>
        </w:rPr>
        <w:t>Taniş v Turkey,</w:t>
      </w:r>
      <w:r w:rsidRPr="00A5537A">
        <w:rPr>
          <w:lang w:val="en-GB"/>
        </w:rPr>
        <w:t xml:space="preserve"> no. 65899/01, judgment of 2 August 2005, § 204, ECHR </w:t>
      </w:r>
      <w:r w:rsidRPr="00A5537A">
        <w:t>2005-VIII</w:t>
      </w:r>
      <w:r w:rsidRPr="00A5537A">
        <w:rPr>
          <w:lang w:val="en-GB"/>
        </w:rPr>
        <w:t>).</w:t>
      </w:r>
      <w:r w:rsidRPr="00E64290">
        <w:rPr>
          <w:lang w:val="en-GB"/>
        </w:rPr>
        <w:t xml:space="preserve"> </w:t>
      </w:r>
      <w:r w:rsidRPr="00A5537A">
        <w:t>The Panel therefore considers that the investigation was not accessible to the complainant’s family as required by Article 2.</w:t>
      </w:r>
    </w:p>
    <w:p w:rsidR="00E64290" w:rsidRDefault="00E64290" w:rsidP="00E64290">
      <w:pPr>
        <w:pStyle w:val="ListParagraph"/>
      </w:pPr>
    </w:p>
    <w:p w:rsidR="00B64DFF" w:rsidRPr="004C7DAB" w:rsidRDefault="00E64290" w:rsidP="00B64DFF">
      <w:pPr>
        <w:pStyle w:val="Default"/>
        <w:numPr>
          <w:ilvl w:val="0"/>
          <w:numId w:val="10"/>
        </w:numPr>
        <w:tabs>
          <w:tab w:val="left" w:pos="450"/>
          <w:tab w:val="left" w:pos="540"/>
          <w:tab w:val="left" w:pos="720"/>
        </w:tabs>
        <w:ind w:hanging="450"/>
        <w:jc w:val="both"/>
        <w:rPr>
          <w:lang w:val="en-US" w:eastAsia="en-US"/>
        </w:rPr>
      </w:pPr>
      <w:r w:rsidRPr="004C7DAB">
        <w:t xml:space="preserve">In light of the deficiencies and shortcomings as described above, the Panel concludes that UNMIK failed to carry out an adequate and effective investigation into the </w:t>
      </w:r>
      <w:r w:rsidR="00B64DFF" w:rsidRPr="004C7DAB">
        <w:t>abduction</w:t>
      </w:r>
      <w:r w:rsidRPr="004C7DAB">
        <w:t xml:space="preserve"> and </w:t>
      </w:r>
      <w:r w:rsidR="004C7DAB" w:rsidRPr="004C7DAB">
        <w:t>death</w:t>
      </w:r>
      <w:r w:rsidRPr="004C7DAB">
        <w:t xml:space="preserve"> of t</w:t>
      </w:r>
      <w:r w:rsidR="00B64DFF" w:rsidRPr="004C7DAB">
        <w:t>he complainant’s brother</w:t>
      </w:r>
      <w:r w:rsidRPr="004C7DAB">
        <w:t>. There has been accordingly a violation of Article 2 of the ECHR under its procedural limb.</w:t>
      </w:r>
    </w:p>
    <w:p w:rsidR="00B64DFF" w:rsidRDefault="00B64DFF" w:rsidP="00B64DFF">
      <w:pPr>
        <w:pStyle w:val="ListParagraph"/>
        <w:rPr>
          <w:lang w:val="en-US" w:eastAsia="en-US"/>
        </w:rPr>
      </w:pPr>
    </w:p>
    <w:p w:rsidR="00E11994" w:rsidRDefault="00E11994" w:rsidP="00B64DFF">
      <w:pPr>
        <w:pStyle w:val="ListParagraph"/>
        <w:rPr>
          <w:lang w:val="en-US" w:eastAsia="en-US"/>
        </w:rPr>
      </w:pPr>
    </w:p>
    <w:p w:rsidR="00B64DFF" w:rsidRPr="00B64DFF" w:rsidRDefault="00B64DFF" w:rsidP="00B64DFF">
      <w:pPr>
        <w:tabs>
          <w:tab w:val="left" w:pos="360"/>
        </w:tabs>
        <w:ind w:left="360" w:hanging="360"/>
        <w:rPr>
          <w:b/>
        </w:rPr>
      </w:pPr>
      <w:r w:rsidRPr="00A5537A">
        <w:rPr>
          <w:b/>
        </w:rPr>
        <w:t>V. CONCLUDI</w:t>
      </w:r>
      <w:r>
        <w:rPr>
          <w:b/>
        </w:rPr>
        <w:t>NG COMMENTS AND RECOMMENDATIONS</w:t>
      </w:r>
    </w:p>
    <w:p w:rsidR="00B64DFF" w:rsidRDefault="00B64DFF" w:rsidP="00B64DFF">
      <w:pPr>
        <w:pStyle w:val="ListParagraph"/>
      </w:pPr>
    </w:p>
    <w:p w:rsidR="00B64DFF" w:rsidRPr="00B64DFF" w:rsidRDefault="00B64DFF" w:rsidP="00B64DFF">
      <w:pPr>
        <w:pStyle w:val="Default"/>
        <w:numPr>
          <w:ilvl w:val="0"/>
          <w:numId w:val="10"/>
        </w:numPr>
        <w:tabs>
          <w:tab w:val="left" w:pos="450"/>
          <w:tab w:val="left" w:pos="540"/>
          <w:tab w:val="left" w:pos="720"/>
        </w:tabs>
        <w:ind w:hanging="450"/>
        <w:jc w:val="both"/>
        <w:rPr>
          <w:lang w:val="en-US" w:eastAsia="en-US"/>
        </w:rPr>
      </w:pPr>
      <w:r w:rsidRPr="00A5537A">
        <w:t xml:space="preserve">In </w:t>
      </w:r>
      <w:r w:rsidRPr="00B64DFF">
        <w:rPr>
          <w:lang w:val="en-GB"/>
        </w:rPr>
        <w:t>light</w:t>
      </w:r>
      <w:r w:rsidRPr="00A5537A">
        <w:t xml:space="preserve"> of the Panel’s findings in this case, the Panel is of the opinion that some form of </w:t>
      </w:r>
      <w:r w:rsidRPr="00B64DFF">
        <w:rPr>
          <w:bCs/>
        </w:rPr>
        <w:t>reparation</w:t>
      </w:r>
      <w:r w:rsidRPr="00A5537A">
        <w:t xml:space="preserve"> is necessary.</w:t>
      </w:r>
    </w:p>
    <w:p w:rsidR="00B64DFF" w:rsidRPr="00B64DFF" w:rsidRDefault="00B64DFF" w:rsidP="00B64DFF">
      <w:pPr>
        <w:pStyle w:val="Default"/>
        <w:tabs>
          <w:tab w:val="left" w:pos="450"/>
          <w:tab w:val="left" w:pos="540"/>
          <w:tab w:val="left" w:pos="720"/>
        </w:tabs>
        <w:ind w:left="450"/>
        <w:jc w:val="both"/>
        <w:rPr>
          <w:lang w:val="en-US" w:eastAsia="en-US"/>
        </w:rPr>
      </w:pPr>
    </w:p>
    <w:p w:rsidR="00B64DFF" w:rsidRPr="00B64DFF" w:rsidRDefault="00B64DFF" w:rsidP="00B64DFF">
      <w:pPr>
        <w:pStyle w:val="Default"/>
        <w:numPr>
          <w:ilvl w:val="0"/>
          <w:numId w:val="10"/>
        </w:numPr>
        <w:tabs>
          <w:tab w:val="left" w:pos="450"/>
          <w:tab w:val="left" w:pos="540"/>
          <w:tab w:val="left" w:pos="720"/>
        </w:tabs>
        <w:ind w:hanging="450"/>
        <w:jc w:val="both"/>
        <w:rPr>
          <w:lang w:val="en-US" w:eastAsia="en-US"/>
        </w:rPr>
      </w:pPr>
      <w:r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w:t>
      </w:r>
      <w:r w:rsidRPr="004C7DAB">
        <w:t xml:space="preserve">notes that pursuant to United Nations Security Council Resolution 1244 (1999) UNMIK from 1999 to 2008 had the primary responsibility to effectively investigate and prosecute the </w:t>
      </w:r>
      <w:r w:rsidR="00DA3121" w:rsidRPr="004C7DAB">
        <w:t>ab</w:t>
      </w:r>
      <w:r w:rsidRPr="004C7DAB">
        <w:t xml:space="preserve">duction and </w:t>
      </w:r>
      <w:r w:rsidR="004C7DAB" w:rsidRPr="004C7DAB">
        <w:t>death</w:t>
      </w:r>
      <w:r w:rsidRPr="004C7DAB">
        <w:t xml:space="preserve"> of Dušan Bogićević, and that its failure to do so </w:t>
      </w:r>
      <w:r w:rsidRPr="004C7DAB">
        <w:rPr>
          <w:bCs/>
        </w:rPr>
        <w:t>constitutes</w:t>
      </w:r>
      <w:r w:rsidRPr="004C7DAB">
        <w:t xml:space="preserve"> a further serious violation of the human rights of the victim and his next-of-kin, in particular the right to have the truth of the matter determined.</w:t>
      </w:r>
      <w:r>
        <w:t xml:space="preserve">  </w:t>
      </w:r>
    </w:p>
    <w:p w:rsidR="00B64DFF" w:rsidRDefault="00B64DFF" w:rsidP="00B64DFF">
      <w:pPr>
        <w:pStyle w:val="ListParagraph"/>
        <w:rPr>
          <w:bCs/>
        </w:rPr>
      </w:pPr>
    </w:p>
    <w:p w:rsidR="00B64DFF" w:rsidRPr="00B64DFF" w:rsidRDefault="00B64DFF" w:rsidP="00B64DFF">
      <w:pPr>
        <w:pStyle w:val="Default"/>
        <w:numPr>
          <w:ilvl w:val="0"/>
          <w:numId w:val="10"/>
        </w:numPr>
        <w:tabs>
          <w:tab w:val="left" w:pos="450"/>
          <w:tab w:val="left" w:pos="540"/>
          <w:tab w:val="left" w:pos="720"/>
        </w:tabs>
        <w:ind w:hanging="450"/>
        <w:jc w:val="both"/>
        <w:rPr>
          <w:lang w:val="en-US" w:eastAsia="en-US"/>
        </w:rPr>
      </w:pPr>
      <w:r w:rsidRPr="00B64DFF">
        <w:rPr>
          <w:bCs/>
        </w:rPr>
        <w:t>The Panel notes the SRSG’s own concerns that the inadequate resources, especially at the outset of UNMIK’s mission, made compliance with UNMIK’s human rights obligations difficult to achieve.</w:t>
      </w:r>
    </w:p>
    <w:p w:rsidR="00B64DFF" w:rsidRPr="00B64DFF" w:rsidRDefault="00B64DFF" w:rsidP="00B64DFF">
      <w:pPr>
        <w:pStyle w:val="Default"/>
        <w:tabs>
          <w:tab w:val="left" w:pos="450"/>
          <w:tab w:val="left" w:pos="540"/>
          <w:tab w:val="left" w:pos="720"/>
        </w:tabs>
        <w:jc w:val="both"/>
        <w:rPr>
          <w:lang w:val="en-US" w:eastAsia="en-US"/>
        </w:rPr>
      </w:pPr>
    </w:p>
    <w:p w:rsidR="00B64DFF" w:rsidRPr="00B64DFF" w:rsidRDefault="00B64DFF" w:rsidP="00B64DFF">
      <w:pPr>
        <w:pStyle w:val="Default"/>
        <w:numPr>
          <w:ilvl w:val="0"/>
          <w:numId w:val="10"/>
        </w:numPr>
        <w:tabs>
          <w:tab w:val="left" w:pos="450"/>
          <w:tab w:val="left" w:pos="540"/>
          <w:tab w:val="left" w:pos="720"/>
        </w:tabs>
        <w:ind w:hanging="450"/>
        <w:jc w:val="both"/>
        <w:rPr>
          <w:lang w:val="en-US" w:eastAsia="en-US"/>
        </w:rPr>
      </w:pPr>
      <w:r w:rsidRPr="00A5537A">
        <w:t xml:space="preserve">It would normally be for UNMIK to take the appropriate measures in order to put an end to the </w:t>
      </w:r>
      <w:r w:rsidRPr="00B64DFF">
        <w:rPr>
          <w:bCs/>
        </w:rPr>
        <w:t>violation</w:t>
      </w:r>
      <w:r w:rsidRPr="00A5537A">
        <w:t xml:space="preserve"> noted and to redress as far as possible the effects thereof. However,</w:t>
      </w:r>
      <w:r w:rsidR="002D14D1">
        <w:t xml:space="preserve"> as the Panel noted </w:t>
      </w:r>
      <w:r w:rsidR="002D14D1" w:rsidRPr="004C7DAB">
        <w:t>above (see § 19 above</w:t>
      </w:r>
      <w:r w:rsidRPr="004C7DAB">
        <w:t>)</w:t>
      </w:r>
      <w:r w:rsidRPr="00A5537A">
        <w:t xml:space="preserve"> UNMIK’s  responsibility with regard to </w:t>
      </w:r>
      <w:r w:rsidRPr="00B64DFF">
        <w:rPr>
          <w:bCs/>
        </w:rPr>
        <w:t>the</w:t>
      </w:r>
      <w:r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t>nternational human rights law.</w:t>
      </w:r>
    </w:p>
    <w:p w:rsidR="00B64DFF" w:rsidRDefault="00B64DFF" w:rsidP="00B64DFF">
      <w:pPr>
        <w:pStyle w:val="ListParagraph"/>
      </w:pPr>
    </w:p>
    <w:p w:rsidR="00B64DFF" w:rsidRPr="00B64DFF" w:rsidRDefault="00B64DFF" w:rsidP="00B64DFF">
      <w:pPr>
        <w:pStyle w:val="Default"/>
        <w:numPr>
          <w:ilvl w:val="0"/>
          <w:numId w:val="10"/>
        </w:numPr>
        <w:tabs>
          <w:tab w:val="left" w:pos="450"/>
          <w:tab w:val="left" w:pos="540"/>
          <w:tab w:val="left" w:pos="720"/>
        </w:tabs>
        <w:ind w:hanging="450"/>
        <w:jc w:val="both"/>
        <w:rPr>
          <w:lang w:val="en-US" w:eastAsia="en-US"/>
        </w:rPr>
      </w:pPr>
      <w:r w:rsidRPr="00A5537A">
        <w:t xml:space="preserve">The Panel considers that this factual situation does not relieve UNMIK from its </w:t>
      </w:r>
      <w:r w:rsidRPr="00B64DFF">
        <w:rPr>
          <w:bCs/>
        </w:rPr>
        <w:t>obligation</w:t>
      </w:r>
      <w:r w:rsidRPr="00A5537A">
        <w:t xml:space="preserve"> to </w:t>
      </w:r>
      <w:r w:rsidRPr="00B64DFF">
        <w:rPr>
          <w:bCs/>
        </w:rPr>
        <w:t>redress</w:t>
      </w:r>
      <w:r w:rsidRPr="00A5537A">
        <w:t xml:space="preserve"> as far as possible the effects of the violations for which it is responsible.</w:t>
      </w:r>
    </w:p>
    <w:p w:rsidR="00B64DFF" w:rsidRPr="00A5537A" w:rsidRDefault="00B64DFF" w:rsidP="00B64DFF">
      <w:pPr>
        <w:suppressAutoHyphens/>
        <w:autoSpaceDE w:val="0"/>
        <w:ind w:left="450"/>
        <w:jc w:val="both"/>
        <w:rPr>
          <w:b/>
          <w:bCs/>
        </w:rPr>
      </w:pPr>
    </w:p>
    <w:p w:rsidR="00B64DFF" w:rsidRPr="00A5537A" w:rsidRDefault="00B64DFF" w:rsidP="00B64DFF">
      <w:pPr>
        <w:suppressAutoHyphens/>
        <w:autoSpaceDE w:val="0"/>
        <w:ind w:left="450"/>
        <w:jc w:val="both"/>
        <w:rPr>
          <w:b/>
          <w:bCs/>
        </w:rPr>
      </w:pPr>
      <w:r w:rsidRPr="00A5537A">
        <w:rPr>
          <w:b/>
          <w:bCs/>
        </w:rPr>
        <w:t>With respect to the complainant and the case the Panel considers it appropriate that UNMIK:</w:t>
      </w:r>
    </w:p>
    <w:p w:rsidR="00B64DFF" w:rsidRPr="00A5537A" w:rsidRDefault="00B64DFF" w:rsidP="00B64DFF">
      <w:pPr>
        <w:pStyle w:val="ListParagraph"/>
        <w:rPr>
          <w:b/>
          <w:bCs/>
        </w:rPr>
      </w:pPr>
    </w:p>
    <w:p w:rsidR="00B64DFF" w:rsidRPr="00A5537A" w:rsidRDefault="00B64DFF" w:rsidP="00B64DFF">
      <w:pPr>
        <w:pStyle w:val="ListParagraph"/>
        <w:numPr>
          <w:ilvl w:val="2"/>
          <w:numId w:val="14"/>
        </w:numPr>
        <w:suppressAutoHyphens/>
        <w:autoSpaceDE w:val="0"/>
        <w:ind w:left="720" w:hanging="270"/>
        <w:jc w:val="both"/>
        <w:rPr>
          <w:b/>
          <w:bCs/>
        </w:rPr>
      </w:pPr>
      <w:r w:rsidRPr="00A5537A">
        <w:t xml:space="preserve">In line with the case law of the European Court of Human Rights on situations of limited State jurisdiction (see ECtHR [GC], </w:t>
      </w:r>
      <w:r w:rsidRPr="00A5537A">
        <w:rPr>
          <w:i/>
        </w:rPr>
        <w:t>Ilaşcu and Others v. Moldova and Russia</w:t>
      </w:r>
      <w:r w:rsidRPr="00A5537A">
        <w:t xml:space="preserve">, no. 48787/99, judgment of 8 July 2004, § 333, ECHR 2004-VII; ECtHR, </w:t>
      </w:r>
      <w:r w:rsidRPr="00A5537A">
        <w:rPr>
          <w:i/>
        </w:rPr>
        <w:t>Al-Saadoon and Mufdhi v. the United Kingdom</w:t>
      </w:r>
      <w:r w:rsidRPr="00A5537A">
        <w:t xml:space="preserve">, no. 61498/08, judgment of 2 March 2010, § 171, ECHR 2010 (extracts); ECtHR [GC], </w:t>
      </w:r>
      <w:r w:rsidRPr="00A5537A">
        <w:rPr>
          <w:i/>
        </w:rPr>
        <w:t>Catan and Others v.</w:t>
      </w:r>
      <w:r w:rsidR="00C11883">
        <w:rPr>
          <w:i/>
        </w:rPr>
        <w:t xml:space="preserve"> Republic of Moldova and Russia</w:t>
      </w:r>
      <w:r w:rsidRPr="00A5537A">
        <w:t xml:space="preserve">, nos. 43370/04 and others, judgment of 19 October 2012, § 109), must endeavour,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Pr="004C7DAB">
        <w:t xml:space="preserve">abduction and </w:t>
      </w:r>
      <w:r w:rsidR="004C7DAB" w:rsidRPr="004C7DAB">
        <w:t>death</w:t>
      </w:r>
      <w:r w:rsidRPr="00A5537A">
        <w:t xml:space="preserve"> of </w:t>
      </w:r>
      <w:r w:rsidRPr="00A06BA7">
        <w:t>Dušan Bogićević</w:t>
      </w:r>
      <w:r w:rsidRPr="00A5537A">
        <w:t xml:space="preserve"> will be established and that perpetrators will be brought to justice; the complainant and/or other next-of-kin shall be informed of such proceedings and relevant documents shall be disclosed to them, as necessary;</w:t>
      </w:r>
    </w:p>
    <w:p w:rsidR="00B64DFF" w:rsidRPr="00A5537A" w:rsidRDefault="00B64DFF" w:rsidP="00B64DFF">
      <w:pPr>
        <w:suppressAutoHyphens/>
        <w:autoSpaceDE w:val="0"/>
        <w:jc w:val="both"/>
        <w:rPr>
          <w:b/>
          <w:bCs/>
        </w:rPr>
      </w:pPr>
    </w:p>
    <w:p w:rsidR="00B64DFF" w:rsidRPr="00A5537A" w:rsidRDefault="00B64DFF" w:rsidP="00B64DFF">
      <w:pPr>
        <w:pStyle w:val="ListParagraph"/>
        <w:numPr>
          <w:ilvl w:val="2"/>
          <w:numId w:val="14"/>
        </w:numPr>
        <w:suppressAutoHyphens/>
        <w:autoSpaceDE w:val="0"/>
        <w:ind w:left="720" w:hanging="270"/>
        <w:jc w:val="both"/>
        <w:rPr>
          <w:bCs/>
        </w:rPr>
      </w:pPr>
      <w:r w:rsidRPr="00A5537A">
        <w:rPr>
          <w:bCs/>
        </w:rPr>
        <w:t xml:space="preserve">Publicly </w:t>
      </w:r>
      <w:r w:rsidRPr="004C7DAB">
        <w:rPr>
          <w:bCs/>
        </w:rPr>
        <w:t xml:space="preserve">acknowledges, within a reasonable time, responsibility with respect to UNMIK’s </w:t>
      </w:r>
      <w:r w:rsidRPr="004C7DAB">
        <w:t>failure</w:t>
      </w:r>
      <w:r w:rsidRPr="004C7DAB">
        <w:rPr>
          <w:bCs/>
        </w:rPr>
        <w:t xml:space="preserve"> to adequately investigate the abduction and </w:t>
      </w:r>
      <w:r w:rsidR="004C7DAB" w:rsidRPr="004C7DAB">
        <w:t>death</w:t>
      </w:r>
      <w:r w:rsidR="00DA75C9" w:rsidRPr="004C7DAB">
        <w:t xml:space="preserve"> </w:t>
      </w:r>
      <w:r w:rsidRPr="004C7DAB">
        <w:rPr>
          <w:bCs/>
        </w:rPr>
        <w:t xml:space="preserve">of </w:t>
      </w:r>
      <w:r w:rsidRPr="004C7DAB">
        <w:t>Dušan Bogićević</w:t>
      </w:r>
      <w:r w:rsidRPr="004C7DAB">
        <w:rPr>
          <w:bCs/>
        </w:rPr>
        <w:t xml:space="preserve"> and makes a public apology to the complainant and her family in this regard;</w:t>
      </w:r>
      <w:r w:rsidRPr="00A5537A">
        <w:rPr>
          <w:bCs/>
        </w:rPr>
        <w:t xml:space="preserve"> </w:t>
      </w:r>
    </w:p>
    <w:p w:rsidR="00B64DFF" w:rsidRPr="00A5537A" w:rsidRDefault="00B64DFF" w:rsidP="00B64DFF">
      <w:pPr>
        <w:suppressAutoHyphens/>
        <w:autoSpaceDE w:val="0"/>
        <w:jc w:val="both"/>
        <w:rPr>
          <w:bCs/>
        </w:rPr>
      </w:pPr>
    </w:p>
    <w:p w:rsidR="00B64DFF" w:rsidRPr="00A5537A" w:rsidRDefault="00B64DFF" w:rsidP="00B64DFF">
      <w:pPr>
        <w:pStyle w:val="ListParagraph"/>
        <w:numPr>
          <w:ilvl w:val="2"/>
          <w:numId w:val="14"/>
        </w:numPr>
        <w:suppressAutoHyphens/>
        <w:autoSpaceDE w:val="0"/>
        <w:ind w:left="720" w:hanging="270"/>
        <w:jc w:val="both"/>
        <w:rPr>
          <w:bCs/>
        </w:rPr>
      </w:pPr>
      <w:r w:rsidRPr="00A5537A">
        <w:rPr>
          <w:bCs/>
        </w:rPr>
        <w:t>Takes appropriate steps towards payment of adequate compensation of the complainant for the mo</w:t>
      </w:r>
      <w:r w:rsidRPr="00A5537A">
        <w:t>r</w:t>
      </w:r>
      <w:r w:rsidRPr="00A5537A">
        <w:rPr>
          <w:bCs/>
        </w:rPr>
        <w:t>al damage suffered due to UNMIK’s failure to conduct an effective investigation as stated above.</w:t>
      </w:r>
    </w:p>
    <w:p w:rsidR="00B64DFF" w:rsidRPr="00A5537A" w:rsidRDefault="00B64DFF" w:rsidP="00B64DFF">
      <w:pPr>
        <w:pStyle w:val="ListParagraph"/>
        <w:ind w:left="450"/>
        <w:rPr>
          <w:b/>
          <w:bCs/>
        </w:rPr>
      </w:pPr>
    </w:p>
    <w:p w:rsidR="00B64DFF" w:rsidRPr="00A5537A" w:rsidRDefault="00B64DFF" w:rsidP="00B64DFF">
      <w:pPr>
        <w:suppressAutoHyphens/>
        <w:autoSpaceDE w:val="0"/>
        <w:ind w:left="450"/>
        <w:jc w:val="both"/>
        <w:rPr>
          <w:b/>
          <w:bCs/>
        </w:rPr>
      </w:pPr>
      <w:r w:rsidRPr="00A5537A">
        <w:rPr>
          <w:b/>
          <w:bCs/>
        </w:rPr>
        <w:t>The Panel also considers it appropriate that UNMIK:</w:t>
      </w:r>
    </w:p>
    <w:p w:rsidR="00B64DFF" w:rsidRPr="00A5537A" w:rsidRDefault="00B64DFF" w:rsidP="00B64DFF"/>
    <w:p w:rsidR="00B64DFF" w:rsidRPr="00A5537A" w:rsidRDefault="00B64DFF" w:rsidP="00B64DFF">
      <w:pPr>
        <w:pStyle w:val="ListParagraph"/>
        <w:numPr>
          <w:ilvl w:val="2"/>
          <w:numId w:val="14"/>
        </w:numPr>
        <w:suppressAutoHyphens/>
        <w:autoSpaceDE w:val="0"/>
        <w:ind w:left="720" w:hanging="270"/>
        <w:jc w:val="both"/>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64DFF" w:rsidRPr="00A5537A" w:rsidRDefault="00B64DFF" w:rsidP="00B64DFF"/>
    <w:p w:rsidR="00B64DFF" w:rsidRPr="00A5537A" w:rsidRDefault="00B64DFF" w:rsidP="00B64DFF">
      <w:pPr>
        <w:pStyle w:val="ListParagraph"/>
        <w:numPr>
          <w:ilvl w:val="2"/>
          <w:numId w:val="14"/>
        </w:numPr>
        <w:suppressAutoHyphens/>
        <w:autoSpaceDE w:val="0"/>
        <w:ind w:left="720" w:hanging="270"/>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74548" w:rsidRDefault="00A74548" w:rsidP="0028761B">
      <w:pPr>
        <w:suppressAutoHyphens/>
        <w:autoSpaceDE w:val="0"/>
        <w:jc w:val="both"/>
        <w:rPr>
          <w:color w:val="000000"/>
          <w:highlight w:val="yellow"/>
          <w:lang w:val="en-US" w:eastAsia="en-US"/>
        </w:rPr>
      </w:pPr>
    </w:p>
    <w:p w:rsidR="007B3B32" w:rsidRPr="00F44800" w:rsidRDefault="007B3B32" w:rsidP="0028761B">
      <w:pPr>
        <w:suppressAutoHyphens/>
        <w:autoSpaceDE w:val="0"/>
        <w:jc w:val="both"/>
        <w:rPr>
          <w:color w:val="000000"/>
          <w:highlight w:val="yellow"/>
          <w:lang w:val="en-US" w:eastAsia="en-US"/>
        </w:rPr>
      </w:pPr>
    </w:p>
    <w:p w:rsidR="00B05134" w:rsidRDefault="00B05134" w:rsidP="00AF16F6">
      <w:pPr>
        <w:pStyle w:val="Default"/>
        <w:jc w:val="both"/>
        <w:rPr>
          <w:b/>
          <w:bCs/>
          <w:lang w:val="en-GB"/>
        </w:rPr>
      </w:pPr>
    </w:p>
    <w:p w:rsidR="00B05134" w:rsidRPr="00AF16F6" w:rsidRDefault="00B05134" w:rsidP="00AF16F6">
      <w:pPr>
        <w:rPr>
          <w:b/>
        </w:rPr>
      </w:pPr>
      <w:r w:rsidRPr="00AF16F6">
        <w:rPr>
          <w:b/>
        </w:rPr>
        <w:t xml:space="preserve">FOR THESE REASONS, </w:t>
      </w:r>
    </w:p>
    <w:p w:rsidR="00896D42" w:rsidRDefault="00896D42" w:rsidP="00AF16F6"/>
    <w:p w:rsidR="00B05134" w:rsidRDefault="00B05134" w:rsidP="00376071">
      <w:r w:rsidRPr="00AF16F6">
        <w:t xml:space="preserve">The Panel, unanimously, </w:t>
      </w:r>
    </w:p>
    <w:p w:rsidR="00376071" w:rsidRDefault="00376071" w:rsidP="00376071"/>
    <w:p w:rsidR="00896D42" w:rsidRPr="00AF16F6" w:rsidRDefault="00896D42" w:rsidP="00376071"/>
    <w:p w:rsidR="00B64DFF" w:rsidRDefault="00B64DFF" w:rsidP="00B64DFF">
      <w:pPr>
        <w:pStyle w:val="ListParagraph"/>
        <w:numPr>
          <w:ilvl w:val="0"/>
          <w:numId w:val="6"/>
        </w:numPr>
        <w:jc w:val="both"/>
        <w:rPr>
          <w:b/>
        </w:rPr>
      </w:pPr>
      <w:r>
        <w:rPr>
          <w:b/>
        </w:rPr>
        <w:t>FINDS THAT THERE HAS BEEN A</w:t>
      </w:r>
      <w:r w:rsidR="00376071" w:rsidRPr="00B64DFF">
        <w:rPr>
          <w:b/>
        </w:rPr>
        <w:t xml:space="preserve"> VIOLATION OF THE PROCEDURAL OBLIGATION UNDER ARTICLE 2 OF THE EUROPEAN CONVENTION ON HUMAN RIGHTS;</w:t>
      </w:r>
    </w:p>
    <w:p w:rsidR="00B64DFF" w:rsidRDefault="00B64DFF" w:rsidP="00B64DFF">
      <w:pPr>
        <w:pStyle w:val="ListParagraph"/>
        <w:ind w:left="405"/>
        <w:jc w:val="both"/>
        <w:rPr>
          <w:b/>
        </w:rPr>
      </w:pPr>
    </w:p>
    <w:p w:rsidR="00B64DFF" w:rsidRPr="00B64DFF" w:rsidRDefault="00B64DFF" w:rsidP="00B64DFF">
      <w:pPr>
        <w:pStyle w:val="ListParagraph"/>
        <w:numPr>
          <w:ilvl w:val="0"/>
          <w:numId w:val="6"/>
        </w:numPr>
        <w:jc w:val="both"/>
        <w:rPr>
          <w:b/>
        </w:rPr>
      </w:pPr>
      <w:r w:rsidRPr="00B64DFF">
        <w:rPr>
          <w:b/>
        </w:rPr>
        <w:t>RECOMMENDS</w:t>
      </w:r>
      <w:r w:rsidRPr="00B64DFF">
        <w:rPr>
          <w:b/>
          <w:bCs/>
          <w:lang w:eastAsia="en-US"/>
        </w:rPr>
        <w:t xml:space="preserve"> THAT UNMIK:</w:t>
      </w:r>
    </w:p>
    <w:p w:rsidR="00B64DFF" w:rsidRPr="00A5537A" w:rsidRDefault="00B64DFF" w:rsidP="00B64DFF">
      <w:pPr>
        <w:pStyle w:val="JuList"/>
        <w:ind w:left="0" w:firstLine="0"/>
        <w:rPr>
          <w:b/>
          <w:bCs/>
          <w:lang w:eastAsia="en-US"/>
        </w:rPr>
      </w:pPr>
    </w:p>
    <w:p w:rsidR="00B64DFF" w:rsidRPr="004C7DAB" w:rsidRDefault="00B64DFF" w:rsidP="00B64DFF">
      <w:pPr>
        <w:pStyle w:val="JuList"/>
        <w:numPr>
          <w:ilvl w:val="0"/>
          <w:numId w:val="16"/>
        </w:numPr>
        <w:ind w:left="720"/>
        <w:rPr>
          <w:b/>
          <w:bCs/>
          <w:lang w:eastAsia="en-US"/>
        </w:rPr>
      </w:pPr>
      <w:r w:rsidRPr="004C7DAB">
        <w:rPr>
          <w:b/>
          <w:bCs/>
          <w:lang w:eastAsia="en-US"/>
        </w:rPr>
        <w:t xml:space="preserve">URGES EULEX AND OTHER COMPETENT AUTHORITIES IN KOSOVO TO TAKE ALL POSSIBLE STEPS IN ORDER TO ENSURE THAT THE CRIMINAL INVESTIGATION INTO THE ABDUCTION AND </w:t>
      </w:r>
      <w:r w:rsidR="004C7DAB" w:rsidRPr="004C7DAB">
        <w:rPr>
          <w:b/>
          <w:bCs/>
          <w:lang w:eastAsia="en-US"/>
        </w:rPr>
        <w:t>DEATH</w:t>
      </w:r>
      <w:r w:rsidR="00DA75C9" w:rsidRPr="004C7DAB">
        <w:rPr>
          <w:b/>
          <w:bCs/>
          <w:lang w:eastAsia="en-US"/>
        </w:rPr>
        <w:t xml:space="preserve"> </w:t>
      </w:r>
      <w:r w:rsidRPr="004C7DAB">
        <w:rPr>
          <w:b/>
          <w:bCs/>
          <w:lang w:eastAsia="en-US"/>
        </w:rPr>
        <w:t>OF THE COMPLAINANT’S BROTHER IS CONTINUED IN COMPLIANCE WITH ARTICLE 2 OF THE ECHR AND THAT THE PERPETRATORS ARE BROUGHT TO JUSTICE;</w:t>
      </w:r>
    </w:p>
    <w:p w:rsidR="00B64DFF" w:rsidRPr="00A5537A" w:rsidRDefault="00B64DFF" w:rsidP="00B64DFF">
      <w:pPr>
        <w:pStyle w:val="JuList"/>
        <w:ind w:left="360" w:firstLine="0"/>
        <w:rPr>
          <w:b/>
          <w:bCs/>
          <w:lang w:eastAsia="en-US"/>
        </w:rPr>
      </w:pPr>
    </w:p>
    <w:p w:rsidR="00B64DFF" w:rsidRPr="004C7DAB" w:rsidRDefault="00B64DFF" w:rsidP="00B64DFF">
      <w:pPr>
        <w:pStyle w:val="JuList"/>
        <w:numPr>
          <w:ilvl w:val="0"/>
          <w:numId w:val="16"/>
        </w:numPr>
        <w:ind w:left="720"/>
        <w:rPr>
          <w:b/>
          <w:bCs/>
          <w:lang w:eastAsia="en-US"/>
        </w:rPr>
      </w:pPr>
      <w:r w:rsidRPr="004C7DAB">
        <w:rPr>
          <w:b/>
          <w:bCs/>
          <w:lang w:eastAsia="en-US"/>
        </w:rPr>
        <w:t xml:space="preserve">PUBLICLY ACKNOWLEDGES RESPONSIBILITY FOR ITS FAILURE TO CONDUCT AN EFFECTIVE INVESTIGATION INTO THE ABDUCTION AND </w:t>
      </w:r>
      <w:r w:rsidR="004C7DAB" w:rsidRPr="004C7DAB">
        <w:rPr>
          <w:b/>
          <w:bCs/>
          <w:lang w:eastAsia="en-US"/>
        </w:rPr>
        <w:t>DEATH</w:t>
      </w:r>
      <w:r w:rsidRPr="004C7DAB">
        <w:rPr>
          <w:b/>
          <w:bCs/>
          <w:lang w:eastAsia="en-US"/>
        </w:rPr>
        <w:t xml:space="preserve"> OF THE COMPLAINANT’S BROTHER AND MAKES A PUBLIC APOLOGY TO THE COMPLAINANT; </w:t>
      </w:r>
    </w:p>
    <w:p w:rsidR="00B64DFF" w:rsidRPr="00A5537A" w:rsidRDefault="00B64DFF" w:rsidP="00B64DFF">
      <w:pPr>
        <w:pStyle w:val="JuList"/>
        <w:ind w:left="360" w:firstLine="0"/>
        <w:rPr>
          <w:b/>
          <w:bCs/>
          <w:lang w:eastAsia="en-US"/>
        </w:rPr>
      </w:pPr>
    </w:p>
    <w:p w:rsidR="00B64DFF" w:rsidRPr="00A5537A" w:rsidRDefault="00B64DFF" w:rsidP="00B64DFF">
      <w:pPr>
        <w:pStyle w:val="JuList"/>
        <w:numPr>
          <w:ilvl w:val="0"/>
          <w:numId w:val="16"/>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 FOR MORAL DAMAGE</w:t>
      </w:r>
      <w:r w:rsidRPr="00A5537A">
        <w:rPr>
          <w:b/>
          <w:bCs/>
          <w:lang w:eastAsia="en-US"/>
        </w:rPr>
        <w:t>;</w:t>
      </w:r>
    </w:p>
    <w:p w:rsidR="00B64DFF" w:rsidRPr="00A5537A" w:rsidRDefault="00B64DFF" w:rsidP="00B64DFF">
      <w:pPr>
        <w:pStyle w:val="JuList"/>
        <w:ind w:left="0" w:firstLine="0"/>
        <w:rPr>
          <w:b/>
          <w:bCs/>
          <w:lang w:eastAsia="en-US"/>
        </w:rPr>
      </w:pPr>
    </w:p>
    <w:p w:rsidR="00B64DFF" w:rsidRPr="00A5537A" w:rsidRDefault="00B64DFF" w:rsidP="00B64DFF">
      <w:pPr>
        <w:pStyle w:val="JuList"/>
        <w:numPr>
          <w:ilvl w:val="0"/>
          <w:numId w:val="16"/>
        </w:numPr>
        <w:ind w:left="720"/>
        <w:rPr>
          <w:b/>
          <w:bCs/>
          <w:lang w:eastAsia="en-US"/>
        </w:rPr>
      </w:pPr>
      <w:r w:rsidRPr="00A5537A">
        <w:rPr>
          <w:b/>
          <w:bCs/>
          <w:lang w:eastAsia="en-US"/>
        </w:rPr>
        <w:t>TAKES APPROPRIATE STEPS TOWARDS THE REALISATION OF A FULL AND COMPREHENSIVE REPARATION PROGRAMME;</w:t>
      </w:r>
    </w:p>
    <w:p w:rsidR="00B64DFF" w:rsidRPr="00A5537A" w:rsidRDefault="00B64DFF" w:rsidP="00B64DFF">
      <w:pPr>
        <w:pStyle w:val="ListParagraph"/>
        <w:rPr>
          <w:b/>
          <w:bCs/>
          <w:lang w:eastAsia="en-US"/>
        </w:rPr>
      </w:pPr>
    </w:p>
    <w:p w:rsidR="00B64DFF" w:rsidRPr="00A5537A" w:rsidRDefault="00B64DFF" w:rsidP="00B64DFF">
      <w:pPr>
        <w:pStyle w:val="JuList"/>
        <w:numPr>
          <w:ilvl w:val="0"/>
          <w:numId w:val="16"/>
        </w:numPr>
        <w:ind w:left="720"/>
        <w:rPr>
          <w:b/>
          <w:bCs/>
          <w:lang w:eastAsia="en-US"/>
        </w:rPr>
      </w:pPr>
      <w:r w:rsidRPr="00A5537A">
        <w:rPr>
          <w:b/>
          <w:bCs/>
          <w:lang w:eastAsia="en-US"/>
        </w:rPr>
        <w:t>TAKES APPROPRIATE STEPS AT THE UNITED NATIONS AS A GUARANTEE OF NON</w:t>
      </w:r>
      <w:r w:rsidRPr="004A76CF">
        <w:rPr>
          <w:b/>
          <w:bCs/>
          <w:lang w:val="en-US" w:eastAsia="en-US"/>
        </w:rPr>
        <w:t>-</w:t>
      </w:r>
      <w:r w:rsidRPr="00A5537A">
        <w:rPr>
          <w:b/>
          <w:bCs/>
          <w:lang w:eastAsia="en-US"/>
        </w:rPr>
        <w:t>REPETITION;</w:t>
      </w:r>
    </w:p>
    <w:p w:rsidR="00B64DFF" w:rsidRPr="00A5537A" w:rsidRDefault="00B64DFF" w:rsidP="00B64DFF">
      <w:pPr>
        <w:pStyle w:val="ListParagraph"/>
        <w:rPr>
          <w:b/>
          <w:bCs/>
          <w:lang w:eastAsia="en-US"/>
        </w:rPr>
      </w:pPr>
    </w:p>
    <w:p w:rsidR="00552B59" w:rsidRPr="00DF7BA2" w:rsidRDefault="00B64DFF" w:rsidP="00DF7BA2">
      <w:pPr>
        <w:pStyle w:val="JuList"/>
        <w:numPr>
          <w:ilvl w:val="0"/>
          <w:numId w:val="16"/>
        </w:numPr>
        <w:ind w:left="720"/>
        <w:rPr>
          <w:b/>
          <w:bCs/>
          <w:lang w:eastAsia="en-US"/>
        </w:rPr>
      </w:pPr>
      <w:r w:rsidRPr="00A5537A">
        <w:rPr>
          <w:b/>
          <w:bCs/>
          <w:lang w:eastAsia="en-US"/>
        </w:rPr>
        <w:t>TAKES IMMEDIATE AND EFFECTIVE MEASURES TO IMPLEMENT THE RECOMMENDATIONS OF THE PANEL AND TO INFORM THE COMPLAINANT AND THE PANEL ABOUT FURTHER DEVELOPMENTS IN THIS CASE.</w:t>
      </w:r>
    </w:p>
    <w:p w:rsidR="00552B59" w:rsidRDefault="00552B59" w:rsidP="00AF16F6">
      <w:pPr>
        <w:tabs>
          <w:tab w:val="left" w:pos="357"/>
        </w:tabs>
        <w:autoSpaceDE w:val="0"/>
        <w:jc w:val="both"/>
      </w:pPr>
    </w:p>
    <w:p w:rsidR="00B05134" w:rsidRDefault="00B05134" w:rsidP="00552B59">
      <w:pPr>
        <w:tabs>
          <w:tab w:val="left" w:pos="357"/>
        </w:tabs>
        <w:autoSpaceDE w:val="0"/>
      </w:pPr>
    </w:p>
    <w:p w:rsidR="0028761B" w:rsidRDefault="0028761B" w:rsidP="00552B59">
      <w:pPr>
        <w:tabs>
          <w:tab w:val="left" w:pos="357"/>
        </w:tabs>
        <w:autoSpaceDE w:val="0"/>
      </w:pPr>
    </w:p>
    <w:p w:rsidR="00E11994" w:rsidRDefault="00E11994" w:rsidP="00552B59">
      <w:pPr>
        <w:tabs>
          <w:tab w:val="left" w:pos="357"/>
        </w:tabs>
        <w:autoSpaceDE w:val="0"/>
      </w:pPr>
    </w:p>
    <w:p w:rsidR="00E11994" w:rsidRDefault="00E11994" w:rsidP="00552B59">
      <w:pPr>
        <w:tabs>
          <w:tab w:val="left" w:pos="357"/>
        </w:tabs>
        <w:autoSpaceDE w:val="0"/>
      </w:pPr>
    </w:p>
    <w:p w:rsidR="00E11994" w:rsidRDefault="00E11994" w:rsidP="00552B59">
      <w:pPr>
        <w:tabs>
          <w:tab w:val="left" w:pos="357"/>
        </w:tabs>
        <w:autoSpaceDE w:val="0"/>
      </w:pPr>
    </w:p>
    <w:p w:rsidR="00E11994" w:rsidRDefault="00E11994" w:rsidP="00552B59">
      <w:pPr>
        <w:tabs>
          <w:tab w:val="left" w:pos="357"/>
        </w:tabs>
        <w:autoSpaceDE w:val="0"/>
      </w:pPr>
    </w:p>
    <w:p w:rsidR="00E11994" w:rsidRPr="00AF16F6" w:rsidRDefault="00E11994" w:rsidP="00552B59">
      <w:pPr>
        <w:tabs>
          <w:tab w:val="left" w:pos="357"/>
        </w:tabs>
        <w:autoSpaceDE w:val="0"/>
      </w:pPr>
    </w:p>
    <w:p w:rsidR="0028761B" w:rsidRDefault="0028761B" w:rsidP="00552B59">
      <w:pPr>
        <w:autoSpaceDE w:val="0"/>
      </w:pPr>
    </w:p>
    <w:p w:rsidR="00683030" w:rsidRDefault="00B05134" w:rsidP="00552B59">
      <w:pPr>
        <w:autoSpaceDE w:val="0"/>
      </w:pPr>
      <w:r w:rsidRPr="00AF16F6">
        <w:t>A</w:t>
      </w:r>
      <w:r w:rsidR="00552B59">
        <w:t>ndrey ANTONOV</w:t>
      </w:r>
      <w:r w:rsidR="00552B59">
        <w:tab/>
      </w:r>
      <w:r w:rsidR="00552B59">
        <w:tab/>
      </w:r>
      <w:r w:rsidR="00552B59">
        <w:tab/>
      </w:r>
      <w:r w:rsidR="00552B59">
        <w:tab/>
      </w:r>
      <w:r w:rsidR="00552B59">
        <w:tab/>
      </w:r>
      <w:r w:rsidR="00552B59">
        <w:tab/>
      </w:r>
      <w:r w:rsidR="00552B59">
        <w:tab/>
        <w:t xml:space="preserve">Marek </w:t>
      </w:r>
      <w:r w:rsidR="00700F1D">
        <w:t xml:space="preserve">NOWICKI </w:t>
      </w:r>
      <w:r w:rsidRPr="00AF16F6">
        <w:t xml:space="preserve">Executive Officer </w:t>
      </w:r>
      <w:r w:rsidRPr="00AF16F6">
        <w:tab/>
      </w:r>
      <w:r w:rsidRPr="00AF16F6">
        <w:tab/>
      </w:r>
      <w:r w:rsidRPr="00AF16F6">
        <w:tab/>
      </w:r>
      <w:r w:rsidRPr="00AF16F6">
        <w:tab/>
      </w:r>
      <w:r w:rsidRPr="00AF16F6">
        <w:tab/>
      </w:r>
      <w:r w:rsidRPr="00AF16F6">
        <w:tab/>
      </w:r>
      <w:r w:rsidR="00700F1D">
        <w:t xml:space="preserve">            </w:t>
      </w:r>
      <w:r w:rsidRPr="00AF16F6">
        <w:t>Presiding Member</w:t>
      </w:r>
    </w:p>
    <w:p w:rsidR="00683030" w:rsidRPr="00A5537A" w:rsidRDefault="00683030" w:rsidP="00683030">
      <w:pPr>
        <w:jc w:val="right"/>
        <w:rPr>
          <w:i/>
        </w:rPr>
      </w:pPr>
      <w:r>
        <w:br w:type="page"/>
      </w:r>
      <w:r w:rsidRPr="00A5537A">
        <w:rPr>
          <w:i/>
        </w:rPr>
        <w:t>Annex</w:t>
      </w:r>
    </w:p>
    <w:p w:rsidR="00683030" w:rsidRPr="00A5537A" w:rsidRDefault="00683030" w:rsidP="00683030"/>
    <w:p w:rsidR="00683030" w:rsidRPr="00A5537A" w:rsidRDefault="00683030" w:rsidP="00683030">
      <w:pPr>
        <w:jc w:val="center"/>
      </w:pPr>
      <w:r w:rsidRPr="00A5537A">
        <w:rPr>
          <w:b/>
        </w:rPr>
        <w:t>ABBREVIATIONS AND ACRONYMS</w:t>
      </w:r>
    </w:p>
    <w:p w:rsidR="00683030" w:rsidRDefault="00683030" w:rsidP="00683030">
      <w:pPr>
        <w:autoSpaceDE w:val="0"/>
        <w:spacing w:line="276" w:lineRule="auto"/>
        <w:ind w:left="540"/>
        <w:jc w:val="both"/>
      </w:pPr>
    </w:p>
    <w:p w:rsidR="00683030" w:rsidRDefault="00683030" w:rsidP="00683030">
      <w:pPr>
        <w:autoSpaceDE w:val="0"/>
        <w:spacing w:line="276" w:lineRule="auto"/>
        <w:ind w:left="540"/>
        <w:jc w:val="both"/>
      </w:pPr>
    </w:p>
    <w:p w:rsidR="00683030" w:rsidRPr="00A5537A" w:rsidRDefault="00683030" w:rsidP="00683030">
      <w:pPr>
        <w:autoSpaceDE w:val="0"/>
        <w:spacing w:line="276" w:lineRule="auto"/>
        <w:ind w:left="540"/>
        <w:jc w:val="both"/>
      </w:pPr>
      <w:r w:rsidRPr="00A5537A">
        <w:rPr>
          <w:b/>
        </w:rPr>
        <w:t xml:space="preserve">CCIU </w:t>
      </w:r>
      <w:r w:rsidRPr="00A5537A">
        <w:t>- Central Criminal Investigation Unit</w:t>
      </w:r>
    </w:p>
    <w:p w:rsidR="00683030" w:rsidRPr="00A5537A" w:rsidRDefault="00683030" w:rsidP="00683030">
      <w:pPr>
        <w:autoSpaceDE w:val="0"/>
        <w:spacing w:line="276" w:lineRule="auto"/>
        <w:ind w:left="540"/>
        <w:jc w:val="both"/>
      </w:pPr>
      <w:r w:rsidRPr="00A5537A">
        <w:rPr>
          <w:b/>
        </w:rPr>
        <w:t xml:space="preserve">DOJ </w:t>
      </w:r>
      <w:r w:rsidRPr="00A5537A">
        <w:t>- Department of Justice</w:t>
      </w:r>
    </w:p>
    <w:p w:rsidR="00683030" w:rsidRPr="00A5537A" w:rsidRDefault="00683030" w:rsidP="00683030">
      <w:pPr>
        <w:autoSpaceDE w:val="0"/>
        <w:spacing w:line="276" w:lineRule="auto"/>
        <w:ind w:left="540"/>
        <w:jc w:val="both"/>
      </w:pPr>
      <w:r w:rsidRPr="00A5537A">
        <w:rPr>
          <w:b/>
        </w:rPr>
        <w:t>DPPO</w:t>
      </w:r>
      <w:r w:rsidRPr="00A5537A">
        <w:t xml:space="preserve"> - District Public Prosecutor’s Office</w:t>
      </w:r>
    </w:p>
    <w:p w:rsidR="00683030" w:rsidRPr="00A5537A" w:rsidRDefault="00683030" w:rsidP="00683030">
      <w:pPr>
        <w:autoSpaceDE w:val="0"/>
        <w:spacing w:line="276" w:lineRule="auto"/>
        <w:ind w:left="540"/>
        <w:jc w:val="both"/>
      </w:pPr>
      <w:r w:rsidRPr="00A5537A">
        <w:rPr>
          <w:b/>
        </w:rPr>
        <w:t>ECHR</w:t>
      </w:r>
      <w:r w:rsidRPr="00A5537A">
        <w:t xml:space="preserve"> - European Convention on Human Rights</w:t>
      </w:r>
    </w:p>
    <w:p w:rsidR="00683030" w:rsidRPr="00A5537A" w:rsidRDefault="00683030" w:rsidP="00683030">
      <w:pPr>
        <w:autoSpaceDE w:val="0"/>
        <w:spacing w:line="276" w:lineRule="auto"/>
        <w:ind w:left="540"/>
        <w:jc w:val="both"/>
      </w:pPr>
      <w:r w:rsidRPr="00A5537A">
        <w:rPr>
          <w:b/>
        </w:rPr>
        <w:t xml:space="preserve">ECtHR </w:t>
      </w:r>
      <w:r w:rsidRPr="00A5537A">
        <w:t xml:space="preserve">- European Court of Human Rights </w:t>
      </w:r>
    </w:p>
    <w:p w:rsidR="00683030" w:rsidRPr="00A5537A" w:rsidRDefault="00683030" w:rsidP="00683030">
      <w:pPr>
        <w:autoSpaceDE w:val="0"/>
        <w:spacing w:line="276" w:lineRule="auto"/>
        <w:ind w:left="540"/>
        <w:jc w:val="both"/>
      </w:pPr>
      <w:r w:rsidRPr="00A5537A">
        <w:rPr>
          <w:b/>
        </w:rPr>
        <w:t>EU</w:t>
      </w:r>
      <w:r w:rsidRPr="00A5537A">
        <w:t xml:space="preserve"> - European Union</w:t>
      </w:r>
    </w:p>
    <w:p w:rsidR="00683030" w:rsidRPr="00A5537A" w:rsidRDefault="00683030" w:rsidP="00683030">
      <w:pPr>
        <w:autoSpaceDE w:val="0"/>
        <w:spacing w:line="276" w:lineRule="auto"/>
        <w:ind w:left="540"/>
        <w:jc w:val="both"/>
      </w:pPr>
      <w:r w:rsidRPr="00A5537A">
        <w:rPr>
          <w:b/>
        </w:rPr>
        <w:t>EULEX</w:t>
      </w:r>
      <w:r w:rsidRPr="00A5537A">
        <w:t xml:space="preserve"> - European Union Rule of Law Mission in Kosovo</w:t>
      </w:r>
    </w:p>
    <w:p w:rsidR="00683030" w:rsidRPr="00A5537A" w:rsidRDefault="00683030" w:rsidP="00683030">
      <w:pPr>
        <w:autoSpaceDE w:val="0"/>
        <w:spacing w:line="276" w:lineRule="auto"/>
        <w:ind w:left="540"/>
        <w:jc w:val="both"/>
      </w:pPr>
      <w:r w:rsidRPr="00A5537A">
        <w:rPr>
          <w:b/>
        </w:rPr>
        <w:t xml:space="preserve">FRY </w:t>
      </w:r>
      <w:r w:rsidRPr="00A5537A">
        <w:t xml:space="preserve">- Federal Republic of Yugoslavia </w:t>
      </w:r>
    </w:p>
    <w:p w:rsidR="00683030" w:rsidRPr="00A5537A" w:rsidRDefault="00683030" w:rsidP="00683030">
      <w:pPr>
        <w:autoSpaceDE w:val="0"/>
        <w:spacing w:line="276" w:lineRule="auto"/>
        <w:ind w:left="540"/>
        <w:jc w:val="both"/>
        <w:rPr>
          <w:b/>
        </w:rPr>
      </w:pPr>
      <w:r w:rsidRPr="00A56E68">
        <w:rPr>
          <w:rFonts w:cs="CAGLHH+TimesNewRoman"/>
          <w:b/>
          <w:color w:val="000000"/>
        </w:rPr>
        <w:t>GC</w:t>
      </w:r>
      <w:r w:rsidRPr="00A56E68">
        <w:rPr>
          <w:rFonts w:cs="CAGLHH+TimesNewRoman"/>
          <w:color w:val="000000"/>
        </w:rPr>
        <w:t xml:space="preserve"> - Grand Chamber of the European Court</w:t>
      </w:r>
      <w:r w:rsidRPr="00A56E68">
        <w:t xml:space="preserve"> of Human Rights</w:t>
      </w:r>
    </w:p>
    <w:p w:rsidR="00683030" w:rsidRPr="00A5537A" w:rsidRDefault="00683030" w:rsidP="00683030">
      <w:pPr>
        <w:autoSpaceDE w:val="0"/>
        <w:spacing w:line="276" w:lineRule="auto"/>
        <w:ind w:left="540"/>
        <w:jc w:val="both"/>
      </w:pPr>
      <w:r w:rsidRPr="00A5537A">
        <w:rPr>
          <w:b/>
        </w:rPr>
        <w:t xml:space="preserve">HRAP </w:t>
      </w:r>
      <w:r w:rsidRPr="00A5537A">
        <w:t>- Human Rights Advisory Panel</w:t>
      </w:r>
    </w:p>
    <w:p w:rsidR="00683030" w:rsidRPr="00A5537A" w:rsidRDefault="00683030" w:rsidP="00683030">
      <w:pPr>
        <w:autoSpaceDE w:val="0"/>
        <w:spacing w:line="276" w:lineRule="auto"/>
        <w:ind w:left="540"/>
        <w:jc w:val="both"/>
      </w:pPr>
      <w:r w:rsidRPr="00A5537A">
        <w:rPr>
          <w:b/>
        </w:rPr>
        <w:t>HRC</w:t>
      </w:r>
      <w:r w:rsidRPr="00A5537A">
        <w:t xml:space="preserve"> - United Nations Human Rights Committee</w:t>
      </w:r>
    </w:p>
    <w:p w:rsidR="00683030" w:rsidRPr="00A5537A" w:rsidRDefault="00683030" w:rsidP="00683030">
      <w:pPr>
        <w:autoSpaceDE w:val="0"/>
        <w:spacing w:line="276" w:lineRule="auto"/>
        <w:ind w:left="540"/>
        <w:jc w:val="both"/>
      </w:pPr>
      <w:r w:rsidRPr="00A5537A">
        <w:rPr>
          <w:b/>
        </w:rPr>
        <w:t xml:space="preserve">IACtHR </w:t>
      </w:r>
      <w:r w:rsidRPr="00A5537A">
        <w:t>- Inter-American Court of Human Rights</w:t>
      </w:r>
    </w:p>
    <w:p w:rsidR="00683030" w:rsidRPr="00A5537A" w:rsidRDefault="00683030" w:rsidP="00683030">
      <w:pPr>
        <w:autoSpaceDE w:val="0"/>
        <w:spacing w:line="276" w:lineRule="auto"/>
        <w:ind w:left="540"/>
        <w:jc w:val="both"/>
      </w:pPr>
      <w:r w:rsidRPr="00A5537A">
        <w:rPr>
          <w:b/>
        </w:rPr>
        <w:t xml:space="preserve">ICCPR </w:t>
      </w:r>
      <w:r w:rsidRPr="00A5537A">
        <w:t>- International Covenant on Civil and Political Rights</w:t>
      </w:r>
    </w:p>
    <w:p w:rsidR="00683030" w:rsidRPr="00A5537A" w:rsidRDefault="00683030" w:rsidP="00683030">
      <w:pPr>
        <w:autoSpaceDE w:val="0"/>
        <w:spacing w:line="276" w:lineRule="auto"/>
        <w:ind w:left="540"/>
        <w:jc w:val="both"/>
      </w:pPr>
      <w:r w:rsidRPr="00A5537A">
        <w:rPr>
          <w:b/>
        </w:rPr>
        <w:t>ICMP</w:t>
      </w:r>
      <w:r w:rsidRPr="00A5537A">
        <w:t xml:space="preserve"> - International Commission of Missing Persons</w:t>
      </w:r>
    </w:p>
    <w:p w:rsidR="00683030" w:rsidRPr="00A5537A" w:rsidRDefault="00683030" w:rsidP="00683030">
      <w:pPr>
        <w:autoSpaceDE w:val="0"/>
        <w:spacing w:line="276" w:lineRule="auto"/>
        <w:ind w:left="540"/>
        <w:jc w:val="both"/>
      </w:pPr>
      <w:r w:rsidRPr="00A5537A">
        <w:rPr>
          <w:b/>
        </w:rPr>
        <w:t>ICRC</w:t>
      </w:r>
      <w:r w:rsidRPr="00A5537A">
        <w:t xml:space="preserve"> - International Committee of the Red Cross</w:t>
      </w:r>
    </w:p>
    <w:p w:rsidR="00683030" w:rsidRPr="00A5537A" w:rsidRDefault="00683030" w:rsidP="00683030">
      <w:pPr>
        <w:autoSpaceDE w:val="0"/>
        <w:spacing w:line="276" w:lineRule="auto"/>
        <w:ind w:left="540"/>
        <w:jc w:val="both"/>
      </w:pPr>
      <w:r w:rsidRPr="00A5537A">
        <w:rPr>
          <w:b/>
        </w:rPr>
        <w:t xml:space="preserve">ICTY </w:t>
      </w:r>
      <w:r w:rsidRPr="00A5537A">
        <w:t>- International Criminal Tribunal for former Yugoslavia</w:t>
      </w:r>
    </w:p>
    <w:p w:rsidR="00683030" w:rsidRPr="00A5537A" w:rsidRDefault="00683030" w:rsidP="00683030">
      <w:pPr>
        <w:autoSpaceDE w:val="0"/>
        <w:spacing w:line="276" w:lineRule="auto"/>
        <w:ind w:left="540"/>
        <w:jc w:val="both"/>
      </w:pPr>
      <w:r w:rsidRPr="00A5537A">
        <w:rPr>
          <w:b/>
        </w:rPr>
        <w:t>KFOR</w:t>
      </w:r>
      <w:r w:rsidRPr="00A5537A">
        <w:t xml:space="preserve"> - International Security Force (commonly known as Kosovo Force)</w:t>
      </w:r>
    </w:p>
    <w:p w:rsidR="00683030" w:rsidRPr="00A5537A" w:rsidRDefault="00683030" w:rsidP="00683030">
      <w:pPr>
        <w:autoSpaceDE w:val="0"/>
        <w:spacing w:line="276" w:lineRule="auto"/>
        <w:ind w:left="540"/>
        <w:jc w:val="both"/>
      </w:pPr>
      <w:r w:rsidRPr="00A5537A">
        <w:rPr>
          <w:b/>
        </w:rPr>
        <w:t>KLA</w:t>
      </w:r>
      <w:r w:rsidRPr="00A5537A">
        <w:t xml:space="preserve"> - Kosovo Liberation Army</w:t>
      </w:r>
    </w:p>
    <w:p w:rsidR="00683030" w:rsidRPr="00A5537A" w:rsidRDefault="00683030" w:rsidP="00683030">
      <w:pPr>
        <w:autoSpaceDE w:val="0"/>
        <w:spacing w:line="276" w:lineRule="auto"/>
        <w:ind w:left="540"/>
        <w:jc w:val="both"/>
        <w:rPr>
          <w:b/>
        </w:rPr>
      </w:pPr>
      <w:r w:rsidRPr="00A5537A">
        <w:rPr>
          <w:b/>
        </w:rPr>
        <w:t xml:space="preserve">MoU - </w:t>
      </w:r>
      <w:r w:rsidRPr="00A5537A">
        <w:t>Memorandum of Understanding</w:t>
      </w:r>
    </w:p>
    <w:p w:rsidR="00683030" w:rsidRPr="00A5537A" w:rsidRDefault="00683030" w:rsidP="00683030">
      <w:pPr>
        <w:autoSpaceDE w:val="0"/>
        <w:spacing w:line="276" w:lineRule="auto"/>
        <w:ind w:left="540"/>
        <w:jc w:val="both"/>
      </w:pPr>
      <w:r w:rsidRPr="00A5537A">
        <w:rPr>
          <w:b/>
        </w:rPr>
        <w:t xml:space="preserve">MPU </w:t>
      </w:r>
      <w:r w:rsidRPr="00A5537A">
        <w:t>- Missing Persons Unit</w:t>
      </w:r>
    </w:p>
    <w:p w:rsidR="00683030" w:rsidRPr="00A5537A" w:rsidRDefault="00683030" w:rsidP="00683030">
      <w:pPr>
        <w:autoSpaceDE w:val="0"/>
        <w:spacing w:line="276" w:lineRule="auto"/>
        <w:ind w:left="540"/>
        <w:jc w:val="both"/>
      </w:pPr>
      <w:r w:rsidRPr="00A5537A">
        <w:rPr>
          <w:b/>
        </w:rPr>
        <w:t>NATO</w:t>
      </w:r>
      <w:r w:rsidRPr="00A5537A">
        <w:t xml:space="preserve"> - North Atlantic Treaty Organization </w:t>
      </w:r>
    </w:p>
    <w:p w:rsidR="00683030" w:rsidRPr="00A5537A" w:rsidRDefault="00683030" w:rsidP="00683030">
      <w:pPr>
        <w:autoSpaceDE w:val="0"/>
        <w:spacing w:line="276" w:lineRule="auto"/>
        <w:ind w:left="540"/>
        <w:jc w:val="both"/>
      </w:pPr>
      <w:r w:rsidRPr="00A5537A">
        <w:rPr>
          <w:b/>
        </w:rPr>
        <w:t>OMPF</w:t>
      </w:r>
      <w:r w:rsidRPr="00A5537A">
        <w:t xml:space="preserve"> - Office on Missing Persons and Forensics</w:t>
      </w:r>
    </w:p>
    <w:p w:rsidR="00683030" w:rsidRPr="00A5537A" w:rsidRDefault="00683030" w:rsidP="00683030">
      <w:pPr>
        <w:autoSpaceDE w:val="0"/>
        <w:spacing w:line="276" w:lineRule="auto"/>
        <w:ind w:left="540"/>
        <w:jc w:val="both"/>
      </w:pPr>
      <w:r w:rsidRPr="00A5537A">
        <w:rPr>
          <w:b/>
        </w:rPr>
        <w:t>OSCE</w:t>
      </w:r>
      <w:r w:rsidRPr="00A5537A">
        <w:t xml:space="preserve"> - Organization for Security and Cooperation in Europe</w:t>
      </w:r>
    </w:p>
    <w:p w:rsidR="00683030" w:rsidRDefault="00683030" w:rsidP="00683030">
      <w:pPr>
        <w:autoSpaceDE w:val="0"/>
        <w:spacing w:line="276" w:lineRule="auto"/>
        <w:ind w:left="540"/>
        <w:jc w:val="both"/>
      </w:pPr>
      <w:r w:rsidRPr="00A5537A">
        <w:rPr>
          <w:b/>
        </w:rPr>
        <w:t xml:space="preserve">RIU - </w:t>
      </w:r>
      <w:r w:rsidRPr="00A5537A">
        <w:t>Regional Investigation Unit</w:t>
      </w:r>
    </w:p>
    <w:p w:rsidR="00AF5555" w:rsidRPr="00A5537A" w:rsidRDefault="00AF5555" w:rsidP="00683030">
      <w:pPr>
        <w:autoSpaceDE w:val="0"/>
        <w:spacing w:line="276" w:lineRule="auto"/>
        <w:ind w:left="540"/>
        <w:jc w:val="both"/>
      </w:pPr>
      <w:r w:rsidRPr="00A56E68">
        <w:rPr>
          <w:b/>
        </w:rPr>
        <w:t>SCIU-</w:t>
      </w:r>
      <w:r w:rsidRPr="00A56E68">
        <w:t xml:space="preserve"> Serious Crimes Investigation Unit</w:t>
      </w:r>
    </w:p>
    <w:p w:rsidR="00683030" w:rsidRPr="00A5537A" w:rsidRDefault="00683030" w:rsidP="00683030">
      <w:pPr>
        <w:autoSpaceDE w:val="0"/>
        <w:spacing w:line="276" w:lineRule="auto"/>
        <w:ind w:left="540"/>
        <w:jc w:val="both"/>
      </w:pPr>
      <w:r w:rsidRPr="00A5537A">
        <w:rPr>
          <w:b/>
        </w:rPr>
        <w:t>SRSG</w:t>
      </w:r>
      <w:r w:rsidRPr="00A5537A">
        <w:t xml:space="preserve"> - Special Representative of the Secretary-General </w:t>
      </w:r>
    </w:p>
    <w:p w:rsidR="00683030" w:rsidRPr="00A5537A" w:rsidRDefault="00683030" w:rsidP="00683030">
      <w:pPr>
        <w:autoSpaceDE w:val="0"/>
        <w:spacing w:line="276" w:lineRule="auto"/>
        <w:ind w:left="540"/>
        <w:jc w:val="both"/>
      </w:pPr>
      <w:r w:rsidRPr="00A5537A">
        <w:rPr>
          <w:b/>
        </w:rPr>
        <w:t>UN</w:t>
      </w:r>
      <w:r w:rsidRPr="00A5537A">
        <w:t xml:space="preserve"> - United Nations</w:t>
      </w:r>
    </w:p>
    <w:p w:rsidR="00683030" w:rsidRPr="00A5537A" w:rsidRDefault="00683030" w:rsidP="00683030">
      <w:pPr>
        <w:autoSpaceDE w:val="0"/>
        <w:spacing w:line="276" w:lineRule="auto"/>
        <w:ind w:left="540"/>
        <w:jc w:val="both"/>
      </w:pPr>
      <w:r w:rsidRPr="00A5537A">
        <w:rPr>
          <w:b/>
        </w:rPr>
        <w:t xml:space="preserve">UNHCR </w:t>
      </w:r>
      <w:r w:rsidRPr="00A5537A">
        <w:t>- United Nations High Commissioner for Refugees</w:t>
      </w:r>
    </w:p>
    <w:p w:rsidR="00683030" w:rsidRPr="00A5537A" w:rsidRDefault="00683030" w:rsidP="00683030">
      <w:pPr>
        <w:autoSpaceDE w:val="0"/>
        <w:spacing w:line="276" w:lineRule="auto"/>
        <w:ind w:left="540"/>
        <w:jc w:val="both"/>
      </w:pPr>
      <w:r w:rsidRPr="00A5537A">
        <w:rPr>
          <w:b/>
        </w:rPr>
        <w:t>UNMIK</w:t>
      </w:r>
      <w:r w:rsidRPr="00A5537A">
        <w:t xml:space="preserve"> - United Nations Interim Administration Mission in Kosovo </w:t>
      </w:r>
    </w:p>
    <w:p w:rsidR="00683030" w:rsidRPr="00A5537A" w:rsidRDefault="00683030" w:rsidP="00683030">
      <w:pPr>
        <w:autoSpaceDE w:val="0"/>
        <w:spacing w:line="276" w:lineRule="auto"/>
        <w:ind w:left="540"/>
        <w:jc w:val="both"/>
      </w:pPr>
      <w:r w:rsidRPr="00A5537A">
        <w:rPr>
          <w:b/>
        </w:rPr>
        <w:t>VRIC</w:t>
      </w:r>
      <w:r w:rsidRPr="00A5537A">
        <w:t xml:space="preserve"> - Victim Recovery and Identification Commission</w:t>
      </w:r>
    </w:p>
    <w:p w:rsidR="00683030" w:rsidRDefault="00683030" w:rsidP="00683030">
      <w:pPr>
        <w:autoSpaceDE w:val="0"/>
        <w:spacing w:line="276" w:lineRule="auto"/>
        <w:ind w:left="540"/>
        <w:jc w:val="both"/>
      </w:pPr>
      <w:r w:rsidRPr="00A5537A">
        <w:rPr>
          <w:b/>
        </w:rPr>
        <w:t xml:space="preserve">WCIU </w:t>
      </w:r>
      <w:r w:rsidRPr="00A5537A">
        <w:t>- War Crimes Investigation Unit</w:t>
      </w:r>
    </w:p>
    <w:p w:rsidR="00B05134" w:rsidRPr="00AF16F6" w:rsidRDefault="00B05134" w:rsidP="00AF16F6">
      <w:pPr>
        <w:autoSpaceDE w:val="0"/>
        <w:jc w:val="both"/>
      </w:pPr>
    </w:p>
    <w:sectPr w:rsidR="00B05134" w:rsidRPr="00AF16F6" w:rsidSect="002A14AD">
      <w:headerReference w:type="even" r:id="rId9"/>
      <w:headerReference w:type="default" r:id="rId10"/>
      <w:footerReference w:type="even" r:id="rId11"/>
      <w:pgSz w:w="11906" w:h="16838"/>
      <w:pgMar w:top="993" w:right="1274" w:bottom="993" w:left="1418" w:header="708"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0C" w:rsidRDefault="00E72F0C">
      <w:r>
        <w:separator/>
      </w:r>
    </w:p>
  </w:endnote>
  <w:endnote w:type="continuationSeparator" w:id="0">
    <w:p w:rsidR="00E72F0C" w:rsidRDefault="00E7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F5" w:rsidRDefault="00CF3CB0" w:rsidP="00B57E36">
    <w:pPr>
      <w:pStyle w:val="Footer"/>
      <w:framePr w:wrap="around" w:vAnchor="text" w:hAnchor="margin" w:xAlign="center" w:y="1"/>
      <w:rPr>
        <w:rStyle w:val="PageNumber"/>
      </w:rPr>
    </w:pPr>
    <w:r>
      <w:rPr>
        <w:rStyle w:val="PageNumber"/>
      </w:rPr>
      <w:fldChar w:fldCharType="begin"/>
    </w:r>
    <w:r w:rsidR="000831F5">
      <w:rPr>
        <w:rStyle w:val="PageNumber"/>
      </w:rPr>
      <w:instrText xml:space="preserve">PAGE  </w:instrText>
    </w:r>
    <w:r>
      <w:rPr>
        <w:rStyle w:val="PageNumber"/>
      </w:rPr>
      <w:fldChar w:fldCharType="end"/>
    </w:r>
  </w:p>
  <w:p w:rsidR="000831F5" w:rsidRDefault="00083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0C" w:rsidRDefault="00E72F0C">
      <w:r>
        <w:separator/>
      </w:r>
    </w:p>
  </w:footnote>
  <w:footnote w:type="continuationSeparator" w:id="0">
    <w:p w:rsidR="00E72F0C" w:rsidRDefault="00E72F0C">
      <w:r>
        <w:continuationSeparator/>
      </w:r>
    </w:p>
  </w:footnote>
  <w:footnote w:id="1">
    <w:p w:rsidR="000831F5" w:rsidRDefault="000831F5" w:rsidP="004F230D">
      <w:pPr>
        <w:pStyle w:val="FootnoteText"/>
      </w:pPr>
      <w:r w:rsidRPr="0072751D">
        <w:rPr>
          <w:rStyle w:val="FootnoteReference"/>
        </w:rPr>
        <w:footnoteRef/>
      </w:r>
      <w:r w:rsidRPr="0072751D">
        <w:t xml:space="preserve"> A list of abbreviations and acronyms contained in the text can be found in the attached Annex.</w:t>
      </w:r>
    </w:p>
  </w:footnote>
  <w:footnote w:id="2">
    <w:p w:rsidR="000831F5" w:rsidRDefault="000831F5" w:rsidP="003D789E">
      <w:pPr>
        <w:pStyle w:val="FootnoteText"/>
        <w:jc w:val="both"/>
      </w:pPr>
      <w:r w:rsidRPr="0055507B">
        <w:rPr>
          <w:rStyle w:val="FootnoteReference"/>
        </w:rPr>
        <w:footnoteRef/>
      </w:r>
      <w:r w:rsidRPr="0055507B">
        <w:t xml:space="preserve"> The references drawn upon by the Panel in setting out this general background include: OSCE, “As Seen, as Told”, Vol. I (October 1998 – June 1999) and Vol. II (14 June – 31 October 1999); quarterly reports of the UN Secretary-General on the United Nations Interim Administration in Kosovo; UNMIK Police Annual Reports (2000, 2001); Humanitarian Law Centre, “Abductions and Disappearances of non-Albanians in Kosovo”(2001); Humanitarian Law Centre, “Kosovo Memory Book” (htpp://www.kosovomemorybook.org); UNMIK Office on Missing Persons and Forensics, “Activity Report 2002-2004”; European Court of Human Rights,</w:t>
      </w:r>
      <w:r w:rsidRPr="0055507B">
        <w:rPr>
          <w:i/>
        </w:rPr>
        <w:t xml:space="preserve"> Behrami and Behrami v. France</w:t>
      </w:r>
      <w:r w:rsidRPr="0055507B">
        <w:t xml:space="preserve"> and </w:t>
      </w:r>
      <w:r w:rsidRPr="0055507B">
        <w:rPr>
          <w:i/>
        </w:rPr>
        <w:t>Saramati v. France, Germany and Norway</w:t>
      </w:r>
      <w:r w:rsidRPr="0055507B">
        <w:t xml:space="preserve">, nos. </w:t>
      </w:r>
      <w:r w:rsidRPr="0055507B">
        <w:rPr>
          <w:rStyle w:val="sb8d990e2"/>
        </w:rPr>
        <w:t>71412/01 and</w:t>
      </w:r>
      <w:r w:rsidRPr="0055507B">
        <w:t xml:space="preserve"> </w:t>
      </w:r>
      <w:r w:rsidRPr="0055507B">
        <w:rPr>
          <w:rStyle w:val="sb8d990e2"/>
        </w:rPr>
        <w:t xml:space="preserve">78166/01, </w:t>
      </w:r>
      <w:r w:rsidRPr="0055507B">
        <w:t>decision of 2 May 2007; International Commission on Missing Persons, “The Situation in Kosovo: a Stock Taking” (2010); data issued by the United Nations High Commissioner for Refug</w:t>
      </w:r>
      <w:r w:rsidRPr="003D789E">
        <w:t xml:space="preserve">ees, (available at </w:t>
      </w:r>
      <w:hyperlink r:id="rId1" w:history="1">
        <w:r w:rsidRPr="003D789E">
          <w:rPr>
            <w:rStyle w:val="Hyperlink"/>
            <w:color w:val="auto"/>
            <w:u w:val="none"/>
          </w:rPr>
          <w:t>www.unhchr.org</w:t>
        </w:r>
      </w:hyperlink>
      <w:r w:rsidRPr="003D789E">
        <w:t xml:space="preserve">) and by the International Committee of the Red Cross (available at </w:t>
      </w:r>
      <w:hyperlink r:id="rId2" w:history="1">
        <w:r w:rsidRPr="003D789E">
          <w:rPr>
            <w:rStyle w:val="Hyperlink"/>
            <w:color w:val="auto"/>
            <w:u w:val="none"/>
          </w:rPr>
          <w:t>http://familylinks.icrc.org/kosovo/en</w:t>
        </w:r>
      </w:hyperlink>
      <w:r w:rsidRPr="003D789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F5" w:rsidRDefault="00CF3CB0" w:rsidP="00B57E36">
    <w:pPr>
      <w:pStyle w:val="Header"/>
      <w:framePr w:wrap="around" w:vAnchor="text" w:hAnchor="margin" w:xAlign="right" w:y="1"/>
      <w:rPr>
        <w:rStyle w:val="PageNumber"/>
      </w:rPr>
    </w:pPr>
    <w:r>
      <w:rPr>
        <w:rStyle w:val="PageNumber"/>
      </w:rPr>
      <w:fldChar w:fldCharType="begin"/>
    </w:r>
    <w:r w:rsidR="000831F5">
      <w:rPr>
        <w:rStyle w:val="PageNumber"/>
      </w:rPr>
      <w:instrText xml:space="preserve">PAGE  </w:instrText>
    </w:r>
    <w:r>
      <w:rPr>
        <w:rStyle w:val="PageNumber"/>
      </w:rPr>
      <w:fldChar w:fldCharType="end"/>
    </w:r>
  </w:p>
  <w:p w:rsidR="000831F5" w:rsidRDefault="000831F5" w:rsidP="00B57E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F5" w:rsidRPr="00A770CE" w:rsidRDefault="000831F5" w:rsidP="00B57E36">
    <w:pPr>
      <w:pStyle w:val="Header"/>
      <w:framePr w:wrap="around" w:vAnchor="text" w:hAnchor="margin" w:xAlign="right" w:y="1"/>
      <w:rPr>
        <w:rStyle w:val="PageNumber"/>
        <w:sz w:val="22"/>
        <w:szCs w:val="22"/>
      </w:rPr>
    </w:pPr>
  </w:p>
  <w:p w:rsidR="000831F5" w:rsidRPr="003E4FDB" w:rsidRDefault="00CF3CB0" w:rsidP="003E4FDB">
    <w:pPr>
      <w:pStyle w:val="Footer"/>
      <w:jc w:val="right"/>
      <w:rPr>
        <w:rStyle w:val="PageNumber"/>
        <w:sz w:val="22"/>
        <w:szCs w:val="22"/>
      </w:rPr>
    </w:pPr>
    <w:r w:rsidRPr="003E4FDB">
      <w:rPr>
        <w:rStyle w:val="PageNumber"/>
        <w:sz w:val="22"/>
        <w:szCs w:val="22"/>
      </w:rPr>
      <w:fldChar w:fldCharType="begin"/>
    </w:r>
    <w:r w:rsidR="000831F5" w:rsidRPr="003E4FDB">
      <w:rPr>
        <w:rStyle w:val="PageNumber"/>
        <w:sz w:val="22"/>
        <w:szCs w:val="22"/>
      </w:rPr>
      <w:instrText xml:space="preserve">PAGE  </w:instrText>
    </w:r>
    <w:r w:rsidRPr="003E4FDB">
      <w:rPr>
        <w:rStyle w:val="PageNumber"/>
        <w:sz w:val="22"/>
        <w:szCs w:val="22"/>
      </w:rPr>
      <w:fldChar w:fldCharType="separate"/>
    </w:r>
    <w:r w:rsidR="00C55976">
      <w:rPr>
        <w:rStyle w:val="PageNumber"/>
        <w:noProof/>
        <w:sz w:val="22"/>
        <w:szCs w:val="22"/>
      </w:rPr>
      <w:t>20</w:t>
    </w:r>
    <w:r w:rsidRPr="003E4FDB">
      <w:rPr>
        <w:rStyle w:val="PageNumber"/>
        <w:sz w:val="22"/>
        <w:szCs w:val="22"/>
      </w:rPr>
      <w:fldChar w:fldCharType="end"/>
    </w:r>
  </w:p>
  <w:p w:rsidR="000831F5" w:rsidRDefault="000831F5" w:rsidP="00B57E3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2C42EA"/>
    <w:multiLevelType w:val="hybridMultilevel"/>
    <w:tmpl w:val="41EA1406"/>
    <w:lvl w:ilvl="0" w:tplc="F42252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355EB3"/>
    <w:multiLevelType w:val="hybridMultilevel"/>
    <w:tmpl w:val="69EAC078"/>
    <w:lvl w:ilvl="0" w:tplc="034E1250">
      <w:start w:val="1"/>
      <w:numFmt w:val="decimal"/>
      <w:lvlText w:val="%1."/>
      <w:lvlJc w:val="left"/>
      <w:pPr>
        <w:ind w:left="45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976661"/>
    <w:multiLevelType w:val="hybridMultilevel"/>
    <w:tmpl w:val="8FFE9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92194"/>
    <w:multiLevelType w:val="hybridMultilevel"/>
    <w:tmpl w:val="B8842ACE"/>
    <w:lvl w:ilvl="0" w:tplc="3C283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1526C"/>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D626DC"/>
    <w:multiLevelType w:val="hybridMultilevel"/>
    <w:tmpl w:val="1E925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F5AD0"/>
    <w:multiLevelType w:val="hybridMultilevel"/>
    <w:tmpl w:val="E5244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4D04BA"/>
    <w:multiLevelType w:val="hybridMultilevel"/>
    <w:tmpl w:val="19A8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2"/>
  </w:num>
  <w:num w:numId="2">
    <w:abstractNumId w:val="11"/>
  </w:num>
  <w:num w:numId="3">
    <w:abstractNumId w:val="13"/>
  </w:num>
  <w:num w:numId="4">
    <w:abstractNumId w:val="10"/>
  </w:num>
  <w:num w:numId="5">
    <w:abstractNumId w:val="14"/>
  </w:num>
  <w:num w:numId="6">
    <w:abstractNumId w:val="4"/>
  </w:num>
  <w:num w:numId="7">
    <w:abstractNumId w:val="9"/>
  </w:num>
  <w:num w:numId="8">
    <w:abstractNumId w:val="6"/>
  </w:num>
  <w:num w:numId="9">
    <w:abstractNumId w:val="7"/>
  </w:num>
  <w:num w:numId="10">
    <w:abstractNumId w:val="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startOverride w:val="1"/>
    </w:lvlOverride>
    <w:lvlOverride w:ilvl="8">
      <w:startOverride w:val="1"/>
    </w:lvlOverride>
  </w:num>
  <w:num w:numId="13">
    <w:abstractNumId w:val="8"/>
  </w:num>
  <w:num w:numId="14">
    <w:abstractNumId w:val="1"/>
  </w:num>
  <w:num w:numId="15">
    <w:abstractNumId w:val="12"/>
  </w:num>
  <w:num w:numId="1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B57E36"/>
    <w:rsid w:val="000016EB"/>
    <w:rsid w:val="000019CB"/>
    <w:rsid w:val="00001DF1"/>
    <w:rsid w:val="00001E7B"/>
    <w:rsid w:val="00004FF5"/>
    <w:rsid w:val="00007C6B"/>
    <w:rsid w:val="00010B40"/>
    <w:rsid w:val="00012D30"/>
    <w:rsid w:val="00013A1D"/>
    <w:rsid w:val="00014000"/>
    <w:rsid w:val="00014185"/>
    <w:rsid w:val="00014246"/>
    <w:rsid w:val="00015603"/>
    <w:rsid w:val="000166AF"/>
    <w:rsid w:val="00017008"/>
    <w:rsid w:val="00026053"/>
    <w:rsid w:val="00026592"/>
    <w:rsid w:val="000272D2"/>
    <w:rsid w:val="00031E9A"/>
    <w:rsid w:val="0003397A"/>
    <w:rsid w:val="000343A5"/>
    <w:rsid w:val="00034E6C"/>
    <w:rsid w:val="000360A1"/>
    <w:rsid w:val="00036D62"/>
    <w:rsid w:val="000370AB"/>
    <w:rsid w:val="000443E0"/>
    <w:rsid w:val="00045B59"/>
    <w:rsid w:val="000509D2"/>
    <w:rsid w:val="00050DDB"/>
    <w:rsid w:val="00051657"/>
    <w:rsid w:val="00052842"/>
    <w:rsid w:val="00052D44"/>
    <w:rsid w:val="000546B4"/>
    <w:rsid w:val="0005558E"/>
    <w:rsid w:val="000574C6"/>
    <w:rsid w:val="000606BE"/>
    <w:rsid w:val="00060DB3"/>
    <w:rsid w:val="000610EB"/>
    <w:rsid w:val="000611C2"/>
    <w:rsid w:val="0006150E"/>
    <w:rsid w:val="0006262C"/>
    <w:rsid w:val="00065A5D"/>
    <w:rsid w:val="00066D1B"/>
    <w:rsid w:val="00067FAA"/>
    <w:rsid w:val="000702CF"/>
    <w:rsid w:val="00075333"/>
    <w:rsid w:val="0007613F"/>
    <w:rsid w:val="00076279"/>
    <w:rsid w:val="00077DF5"/>
    <w:rsid w:val="000800A5"/>
    <w:rsid w:val="000824A9"/>
    <w:rsid w:val="00082ECE"/>
    <w:rsid w:val="000831F5"/>
    <w:rsid w:val="00084F96"/>
    <w:rsid w:val="00085383"/>
    <w:rsid w:val="0008577F"/>
    <w:rsid w:val="00085C6C"/>
    <w:rsid w:val="00087B66"/>
    <w:rsid w:val="00091286"/>
    <w:rsid w:val="00094069"/>
    <w:rsid w:val="00094C9C"/>
    <w:rsid w:val="00096FA5"/>
    <w:rsid w:val="00096FD8"/>
    <w:rsid w:val="000977AE"/>
    <w:rsid w:val="00097E9E"/>
    <w:rsid w:val="000A0FFA"/>
    <w:rsid w:val="000A1882"/>
    <w:rsid w:val="000A1BCA"/>
    <w:rsid w:val="000A2FBB"/>
    <w:rsid w:val="000A39E4"/>
    <w:rsid w:val="000A5BD8"/>
    <w:rsid w:val="000A5EE4"/>
    <w:rsid w:val="000A760C"/>
    <w:rsid w:val="000B025D"/>
    <w:rsid w:val="000B06DD"/>
    <w:rsid w:val="000B116D"/>
    <w:rsid w:val="000B2482"/>
    <w:rsid w:val="000B28B5"/>
    <w:rsid w:val="000B3581"/>
    <w:rsid w:val="000B5327"/>
    <w:rsid w:val="000B536C"/>
    <w:rsid w:val="000B5375"/>
    <w:rsid w:val="000B5BDC"/>
    <w:rsid w:val="000B690C"/>
    <w:rsid w:val="000B6B57"/>
    <w:rsid w:val="000B6F3F"/>
    <w:rsid w:val="000C1594"/>
    <w:rsid w:val="000C1DFF"/>
    <w:rsid w:val="000C295F"/>
    <w:rsid w:val="000C2C8D"/>
    <w:rsid w:val="000C3456"/>
    <w:rsid w:val="000C56BD"/>
    <w:rsid w:val="000C6CB8"/>
    <w:rsid w:val="000C7608"/>
    <w:rsid w:val="000D01B4"/>
    <w:rsid w:val="000D045D"/>
    <w:rsid w:val="000D0502"/>
    <w:rsid w:val="000D0924"/>
    <w:rsid w:val="000D1F30"/>
    <w:rsid w:val="000D2662"/>
    <w:rsid w:val="000D46EA"/>
    <w:rsid w:val="000D62BA"/>
    <w:rsid w:val="000D6610"/>
    <w:rsid w:val="000D6A04"/>
    <w:rsid w:val="000E1558"/>
    <w:rsid w:val="000E1781"/>
    <w:rsid w:val="000E18AC"/>
    <w:rsid w:val="000E1E2C"/>
    <w:rsid w:val="000E2181"/>
    <w:rsid w:val="000E2AD6"/>
    <w:rsid w:val="000E3CF5"/>
    <w:rsid w:val="000E3E8F"/>
    <w:rsid w:val="000E4CD2"/>
    <w:rsid w:val="000E6EF2"/>
    <w:rsid w:val="000E6F85"/>
    <w:rsid w:val="000E7269"/>
    <w:rsid w:val="000E761B"/>
    <w:rsid w:val="000F00DD"/>
    <w:rsid w:val="000F021A"/>
    <w:rsid w:val="000F0FD3"/>
    <w:rsid w:val="000F1759"/>
    <w:rsid w:val="000F19E4"/>
    <w:rsid w:val="000F1D3D"/>
    <w:rsid w:val="000F392F"/>
    <w:rsid w:val="000F47F9"/>
    <w:rsid w:val="000F4EDF"/>
    <w:rsid w:val="000F56EF"/>
    <w:rsid w:val="000F64F6"/>
    <w:rsid w:val="000F65CA"/>
    <w:rsid w:val="0010044A"/>
    <w:rsid w:val="001030BF"/>
    <w:rsid w:val="001033F5"/>
    <w:rsid w:val="00103B00"/>
    <w:rsid w:val="00104AA5"/>
    <w:rsid w:val="00104FB7"/>
    <w:rsid w:val="0010580B"/>
    <w:rsid w:val="00105A67"/>
    <w:rsid w:val="001075D2"/>
    <w:rsid w:val="001104D9"/>
    <w:rsid w:val="00110795"/>
    <w:rsid w:val="0011119A"/>
    <w:rsid w:val="0011154B"/>
    <w:rsid w:val="00111727"/>
    <w:rsid w:val="00112601"/>
    <w:rsid w:val="00115F6D"/>
    <w:rsid w:val="00116EE4"/>
    <w:rsid w:val="00117E73"/>
    <w:rsid w:val="001203ED"/>
    <w:rsid w:val="001208B3"/>
    <w:rsid w:val="00120A32"/>
    <w:rsid w:val="0012143B"/>
    <w:rsid w:val="00122B95"/>
    <w:rsid w:val="00123733"/>
    <w:rsid w:val="00124EA1"/>
    <w:rsid w:val="00125A78"/>
    <w:rsid w:val="00125DB5"/>
    <w:rsid w:val="00125E7E"/>
    <w:rsid w:val="0012648C"/>
    <w:rsid w:val="001264D0"/>
    <w:rsid w:val="001266B1"/>
    <w:rsid w:val="00126D85"/>
    <w:rsid w:val="0012709D"/>
    <w:rsid w:val="0013014E"/>
    <w:rsid w:val="0013128F"/>
    <w:rsid w:val="00131458"/>
    <w:rsid w:val="001342E3"/>
    <w:rsid w:val="0013476E"/>
    <w:rsid w:val="001348EA"/>
    <w:rsid w:val="00134950"/>
    <w:rsid w:val="00134AC5"/>
    <w:rsid w:val="0013554D"/>
    <w:rsid w:val="00135A8B"/>
    <w:rsid w:val="00135F47"/>
    <w:rsid w:val="00136728"/>
    <w:rsid w:val="00137BE0"/>
    <w:rsid w:val="00137DF7"/>
    <w:rsid w:val="0014036B"/>
    <w:rsid w:val="00140535"/>
    <w:rsid w:val="00141138"/>
    <w:rsid w:val="00141CDA"/>
    <w:rsid w:val="00143D21"/>
    <w:rsid w:val="00143F79"/>
    <w:rsid w:val="00144E64"/>
    <w:rsid w:val="0014667E"/>
    <w:rsid w:val="001474B0"/>
    <w:rsid w:val="00147E10"/>
    <w:rsid w:val="0015057B"/>
    <w:rsid w:val="00151620"/>
    <w:rsid w:val="00151A31"/>
    <w:rsid w:val="001549FB"/>
    <w:rsid w:val="00155422"/>
    <w:rsid w:val="00157115"/>
    <w:rsid w:val="00157933"/>
    <w:rsid w:val="00160023"/>
    <w:rsid w:val="00160368"/>
    <w:rsid w:val="001606E9"/>
    <w:rsid w:val="00160F77"/>
    <w:rsid w:val="001637B0"/>
    <w:rsid w:val="00165B02"/>
    <w:rsid w:val="00165E68"/>
    <w:rsid w:val="0016685C"/>
    <w:rsid w:val="00167049"/>
    <w:rsid w:val="00170546"/>
    <w:rsid w:val="00170EFC"/>
    <w:rsid w:val="00171463"/>
    <w:rsid w:val="0017171C"/>
    <w:rsid w:val="001722DB"/>
    <w:rsid w:val="00173928"/>
    <w:rsid w:val="00174E8C"/>
    <w:rsid w:val="00180012"/>
    <w:rsid w:val="00180272"/>
    <w:rsid w:val="0018094F"/>
    <w:rsid w:val="00181054"/>
    <w:rsid w:val="001831B4"/>
    <w:rsid w:val="001837F4"/>
    <w:rsid w:val="00183BF4"/>
    <w:rsid w:val="00184D23"/>
    <w:rsid w:val="00185325"/>
    <w:rsid w:val="00185CC4"/>
    <w:rsid w:val="00185DA3"/>
    <w:rsid w:val="00186706"/>
    <w:rsid w:val="00187506"/>
    <w:rsid w:val="0018763B"/>
    <w:rsid w:val="0019010E"/>
    <w:rsid w:val="001914AF"/>
    <w:rsid w:val="00191B62"/>
    <w:rsid w:val="00191F04"/>
    <w:rsid w:val="001956E8"/>
    <w:rsid w:val="00195FAE"/>
    <w:rsid w:val="00196676"/>
    <w:rsid w:val="00197158"/>
    <w:rsid w:val="00197904"/>
    <w:rsid w:val="001A0058"/>
    <w:rsid w:val="001A06A3"/>
    <w:rsid w:val="001A0F74"/>
    <w:rsid w:val="001A10BF"/>
    <w:rsid w:val="001A1592"/>
    <w:rsid w:val="001A3E6E"/>
    <w:rsid w:val="001A45A5"/>
    <w:rsid w:val="001A5AB5"/>
    <w:rsid w:val="001A67CF"/>
    <w:rsid w:val="001A71AB"/>
    <w:rsid w:val="001A744A"/>
    <w:rsid w:val="001A7E18"/>
    <w:rsid w:val="001B065B"/>
    <w:rsid w:val="001B0ECF"/>
    <w:rsid w:val="001B1948"/>
    <w:rsid w:val="001B287A"/>
    <w:rsid w:val="001B293D"/>
    <w:rsid w:val="001B5DF9"/>
    <w:rsid w:val="001B76E6"/>
    <w:rsid w:val="001B7749"/>
    <w:rsid w:val="001C1515"/>
    <w:rsid w:val="001C16DD"/>
    <w:rsid w:val="001C24BB"/>
    <w:rsid w:val="001C2988"/>
    <w:rsid w:val="001C3CCF"/>
    <w:rsid w:val="001C40E8"/>
    <w:rsid w:val="001C59D2"/>
    <w:rsid w:val="001C5C4D"/>
    <w:rsid w:val="001C6568"/>
    <w:rsid w:val="001C6711"/>
    <w:rsid w:val="001C67CD"/>
    <w:rsid w:val="001C7241"/>
    <w:rsid w:val="001C7777"/>
    <w:rsid w:val="001D070F"/>
    <w:rsid w:val="001D0DD3"/>
    <w:rsid w:val="001D17BE"/>
    <w:rsid w:val="001D3BEA"/>
    <w:rsid w:val="001D3EE6"/>
    <w:rsid w:val="001D50F4"/>
    <w:rsid w:val="001D54F5"/>
    <w:rsid w:val="001D59E8"/>
    <w:rsid w:val="001E0611"/>
    <w:rsid w:val="001E2427"/>
    <w:rsid w:val="001E2560"/>
    <w:rsid w:val="001E3829"/>
    <w:rsid w:val="001E4995"/>
    <w:rsid w:val="001E6387"/>
    <w:rsid w:val="001E6605"/>
    <w:rsid w:val="001E7F10"/>
    <w:rsid w:val="001F2243"/>
    <w:rsid w:val="001F537A"/>
    <w:rsid w:val="001F61FC"/>
    <w:rsid w:val="001F6850"/>
    <w:rsid w:val="00200559"/>
    <w:rsid w:val="002012AB"/>
    <w:rsid w:val="00201F1A"/>
    <w:rsid w:val="00204108"/>
    <w:rsid w:val="00204786"/>
    <w:rsid w:val="00204F04"/>
    <w:rsid w:val="00205F2F"/>
    <w:rsid w:val="002079C1"/>
    <w:rsid w:val="00210485"/>
    <w:rsid w:val="0021192E"/>
    <w:rsid w:val="00212046"/>
    <w:rsid w:val="00212C87"/>
    <w:rsid w:val="00213EBC"/>
    <w:rsid w:val="00213EE4"/>
    <w:rsid w:val="002145F8"/>
    <w:rsid w:val="00214FD4"/>
    <w:rsid w:val="00216513"/>
    <w:rsid w:val="00217D98"/>
    <w:rsid w:val="0022032D"/>
    <w:rsid w:val="00221274"/>
    <w:rsid w:val="00221525"/>
    <w:rsid w:val="00221AF9"/>
    <w:rsid w:val="00222039"/>
    <w:rsid w:val="002220E3"/>
    <w:rsid w:val="002235C8"/>
    <w:rsid w:val="00223994"/>
    <w:rsid w:val="00223A79"/>
    <w:rsid w:val="00224242"/>
    <w:rsid w:val="002243FE"/>
    <w:rsid w:val="002245A7"/>
    <w:rsid w:val="00225148"/>
    <w:rsid w:val="00230630"/>
    <w:rsid w:val="00231CA6"/>
    <w:rsid w:val="0023240F"/>
    <w:rsid w:val="00232C60"/>
    <w:rsid w:val="00233CA4"/>
    <w:rsid w:val="002344C9"/>
    <w:rsid w:val="00234789"/>
    <w:rsid w:val="00235C9F"/>
    <w:rsid w:val="0023603A"/>
    <w:rsid w:val="0023661B"/>
    <w:rsid w:val="00237293"/>
    <w:rsid w:val="002404F6"/>
    <w:rsid w:val="00240F2F"/>
    <w:rsid w:val="002414D3"/>
    <w:rsid w:val="00241905"/>
    <w:rsid w:val="002426B0"/>
    <w:rsid w:val="00242778"/>
    <w:rsid w:val="00243387"/>
    <w:rsid w:val="002439E7"/>
    <w:rsid w:val="00243A89"/>
    <w:rsid w:val="00243E66"/>
    <w:rsid w:val="00243EBC"/>
    <w:rsid w:val="00243F65"/>
    <w:rsid w:val="002451DA"/>
    <w:rsid w:val="00245B7D"/>
    <w:rsid w:val="00246979"/>
    <w:rsid w:val="00246A0B"/>
    <w:rsid w:val="00246D61"/>
    <w:rsid w:val="002479A7"/>
    <w:rsid w:val="0025232F"/>
    <w:rsid w:val="00252A3B"/>
    <w:rsid w:val="00252DA8"/>
    <w:rsid w:val="002540F6"/>
    <w:rsid w:val="0025436E"/>
    <w:rsid w:val="00257691"/>
    <w:rsid w:val="00257DF7"/>
    <w:rsid w:val="002634CC"/>
    <w:rsid w:val="00263B60"/>
    <w:rsid w:val="002645FB"/>
    <w:rsid w:val="00264BF3"/>
    <w:rsid w:val="002654D5"/>
    <w:rsid w:val="00265DC6"/>
    <w:rsid w:val="00265E39"/>
    <w:rsid w:val="002665A0"/>
    <w:rsid w:val="00266E35"/>
    <w:rsid w:val="00271313"/>
    <w:rsid w:val="00271393"/>
    <w:rsid w:val="00271A0A"/>
    <w:rsid w:val="0027329E"/>
    <w:rsid w:val="00273719"/>
    <w:rsid w:val="00276325"/>
    <w:rsid w:val="00276D20"/>
    <w:rsid w:val="002809E6"/>
    <w:rsid w:val="00281D80"/>
    <w:rsid w:val="002825E3"/>
    <w:rsid w:val="00282B04"/>
    <w:rsid w:val="00282BF2"/>
    <w:rsid w:val="00282FB9"/>
    <w:rsid w:val="00283539"/>
    <w:rsid w:val="00283B07"/>
    <w:rsid w:val="00285431"/>
    <w:rsid w:val="002856A0"/>
    <w:rsid w:val="00286085"/>
    <w:rsid w:val="0028761B"/>
    <w:rsid w:val="002916F2"/>
    <w:rsid w:val="00292793"/>
    <w:rsid w:val="00294149"/>
    <w:rsid w:val="002941AF"/>
    <w:rsid w:val="00294452"/>
    <w:rsid w:val="00294BA4"/>
    <w:rsid w:val="00294BB1"/>
    <w:rsid w:val="002953E8"/>
    <w:rsid w:val="00295563"/>
    <w:rsid w:val="00295D9E"/>
    <w:rsid w:val="002A0EE4"/>
    <w:rsid w:val="002A0FA2"/>
    <w:rsid w:val="002A14AD"/>
    <w:rsid w:val="002A181E"/>
    <w:rsid w:val="002A182F"/>
    <w:rsid w:val="002A1D1D"/>
    <w:rsid w:val="002A2626"/>
    <w:rsid w:val="002A2859"/>
    <w:rsid w:val="002A2F90"/>
    <w:rsid w:val="002A54BF"/>
    <w:rsid w:val="002A58F3"/>
    <w:rsid w:val="002A7B5E"/>
    <w:rsid w:val="002B0200"/>
    <w:rsid w:val="002B04FE"/>
    <w:rsid w:val="002B132E"/>
    <w:rsid w:val="002B288B"/>
    <w:rsid w:val="002B314A"/>
    <w:rsid w:val="002B48B1"/>
    <w:rsid w:val="002B4ABF"/>
    <w:rsid w:val="002B79AA"/>
    <w:rsid w:val="002C0D93"/>
    <w:rsid w:val="002C16A0"/>
    <w:rsid w:val="002C3BED"/>
    <w:rsid w:val="002C3F3C"/>
    <w:rsid w:val="002C4B6E"/>
    <w:rsid w:val="002C5CBE"/>
    <w:rsid w:val="002C641F"/>
    <w:rsid w:val="002C6478"/>
    <w:rsid w:val="002C6821"/>
    <w:rsid w:val="002C7211"/>
    <w:rsid w:val="002C769E"/>
    <w:rsid w:val="002D08EC"/>
    <w:rsid w:val="002D14D1"/>
    <w:rsid w:val="002D27C4"/>
    <w:rsid w:val="002D284B"/>
    <w:rsid w:val="002D42BF"/>
    <w:rsid w:val="002D4AD0"/>
    <w:rsid w:val="002D4DFC"/>
    <w:rsid w:val="002D5FE2"/>
    <w:rsid w:val="002D67F9"/>
    <w:rsid w:val="002E0B3E"/>
    <w:rsid w:val="002E248F"/>
    <w:rsid w:val="002E2BCC"/>
    <w:rsid w:val="002E50EF"/>
    <w:rsid w:val="002E5411"/>
    <w:rsid w:val="002E5671"/>
    <w:rsid w:val="002E5774"/>
    <w:rsid w:val="002E5F06"/>
    <w:rsid w:val="002E5F13"/>
    <w:rsid w:val="002E67E5"/>
    <w:rsid w:val="002E786A"/>
    <w:rsid w:val="002E7D58"/>
    <w:rsid w:val="002E7D75"/>
    <w:rsid w:val="002F04E3"/>
    <w:rsid w:val="002F23A8"/>
    <w:rsid w:val="002F2772"/>
    <w:rsid w:val="002F3FD7"/>
    <w:rsid w:val="002F482C"/>
    <w:rsid w:val="002F512B"/>
    <w:rsid w:val="002F5172"/>
    <w:rsid w:val="002F6954"/>
    <w:rsid w:val="002F7ACD"/>
    <w:rsid w:val="00302949"/>
    <w:rsid w:val="00302B8D"/>
    <w:rsid w:val="00303198"/>
    <w:rsid w:val="003033CE"/>
    <w:rsid w:val="00303475"/>
    <w:rsid w:val="00303750"/>
    <w:rsid w:val="003037BE"/>
    <w:rsid w:val="00306034"/>
    <w:rsid w:val="0030674E"/>
    <w:rsid w:val="003105CC"/>
    <w:rsid w:val="00312D78"/>
    <w:rsid w:val="00313F19"/>
    <w:rsid w:val="00314091"/>
    <w:rsid w:val="00314A8F"/>
    <w:rsid w:val="00315111"/>
    <w:rsid w:val="00315854"/>
    <w:rsid w:val="00315866"/>
    <w:rsid w:val="0031633D"/>
    <w:rsid w:val="0032000C"/>
    <w:rsid w:val="00323031"/>
    <w:rsid w:val="003248E3"/>
    <w:rsid w:val="0032498A"/>
    <w:rsid w:val="003257A5"/>
    <w:rsid w:val="0033176B"/>
    <w:rsid w:val="00331A21"/>
    <w:rsid w:val="00333293"/>
    <w:rsid w:val="003347C5"/>
    <w:rsid w:val="00334FCA"/>
    <w:rsid w:val="003367DB"/>
    <w:rsid w:val="00336C44"/>
    <w:rsid w:val="00337185"/>
    <w:rsid w:val="003378AB"/>
    <w:rsid w:val="003409C7"/>
    <w:rsid w:val="003450E8"/>
    <w:rsid w:val="00345C36"/>
    <w:rsid w:val="00346859"/>
    <w:rsid w:val="003474BE"/>
    <w:rsid w:val="00347FED"/>
    <w:rsid w:val="00350C56"/>
    <w:rsid w:val="0035159B"/>
    <w:rsid w:val="0035289E"/>
    <w:rsid w:val="00353A62"/>
    <w:rsid w:val="00354324"/>
    <w:rsid w:val="003548D9"/>
    <w:rsid w:val="00354CEF"/>
    <w:rsid w:val="00355AA9"/>
    <w:rsid w:val="00356F30"/>
    <w:rsid w:val="00357878"/>
    <w:rsid w:val="003578BC"/>
    <w:rsid w:val="003615A8"/>
    <w:rsid w:val="00362897"/>
    <w:rsid w:val="00362903"/>
    <w:rsid w:val="00363433"/>
    <w:rsid w:val="00363520"/>
    <w:rsid w:val="00363A6E"/>
    <w:rsid w:val="00365672"/>
    <w:rsid w:val="00365D39"/>
    <w:rsid w:val="0036639E"/>
    <w:rsid w:val="0036647B"/>
    <w:rsid w:val="00366579"/>
    <w:rsid w:val="003671C8"/>
    <w:rsid w:val="003677F2"/>
    <w:rsid w:val="00370A2D"/>
    <w:rsid w:val="0037353E"/>
    <w:rsid w:val="00374C04"/>
    <w:rsid w:val="00374DC2"/>
    <w:rsid w:val="00374DEC"/>
    <w:rsid w:val="00376071"/>
    <w:rsid w:val="0038048F"/>
    <w:rsid w:val="003805E1"/>
    <w:rsid w:val="003809E8"/>
    <w:rsid w:val="00380D1E"/>
    <w:rsid w:val="0038168B"/>
    <w:rsid w:val="003818C8"/>
    <w:rsid w:val="003839CC"/>
    <w:rsid w:val="0038465F"/>
    <w:rsid w:val="00384713"/>
    <w:rsid w:val="00384E48"/>
    <w:rsid w:val="00384E7B"/>
    <w:rsid w:val="003858A3"/>
    <w:rsid w:val="00386411"/>
    <w:rsid w:val="003875C9"/>
    <w:rsid w:val="0039030D"/>
    <w:rsid w:val="00390627"/>
    <w:rsid w:val="00390DE4"/>
    <w:rsid w:val="00391D57"/>
    <w:rsid w:val="0039286C"/>
    <w:rsid w:val="00392EE9"/>
    <w:rsid w:val="00393035"/>
    <w:rsid w:val="00395DC6"/>
    <w:rsid w:val="00396C5D"/>
    <w:rsid w:val="00396D76"/>
    <w:rsid w:val="003976CD"/>
    <w:rsid w:val="003977D9"/>
    <w:rsid w:val="003A0C4F"/>
    <w:rsid w:val="003A1CF1"/>
    <w:rsid w:val="003A4146"/>
    <w:rsid w:val="003A4FE4"/>
    <w:rsid w:val="003A56BB"/>
    <w:rsid w:val="003A6688"/>
    <w:rsid w:val="003A7301"/>
    <w:rsid w:val="003A7F11"/>
    <w:rsid w:val="003B2980"/>
    <w:rsid w:val="003B4062"/>
    <w:rsid w:val="003B4BC2"/>
    <w:rsid w:val="003B542F"/>
    <w:rsid w:val="003B74DE"/>
    <w:rsid w:val="003B7E36"/>
    <w:rsid w:val="003C0639"/>
    <w:rsid w:val="003C06A7"/>
    <w:rsid w:val="003C1427"/>
    <w:rsid w:val="003C41D9"/>
    <w:rsid w:val="003C49F3"/>
    <w:rsid w:val="003C5578"/>
    <w:rsid w:val="003C58F3"/>
    <w:rsid w:val="003D02A4"/>
    <w:rsid w:val="003D0433"/>
    <w:rsid w:val="003D0B1D"/>
    <w:rsid w:val="003D0B91"/>
    <w:rsid w:val="003D1957"/>
    <w:rsid w:val="003D28BE"/>
    <w:rsid w:val="003D3F3F"/>
    <w:rsid w:val="003D443D"/>
    <w:rsid w:val="003D486E"/>
    <w:rsid w:val="003D4D6B"/>
    <w:rsid w:val="003D62E3"/>
    <w:rsid w:val="003D6304"/>
    <w:rsid w:val="003D6C02"/>
    <w:rsid w:val="003D789E"/>
    <w:rsid w:val="003E09FB"/>
    <w:rsid w:val="003E15B8"/>
    <w:rsid w:val="003E1A2F"/>
    <w:rsid w:val="003E2038"/>
    <w:rsid w:val="003E23EA"/>
    <w:rsid w:val="003E25BA"/>
    <w:rsid w:val="003E272C"/>
    <w:rsid w:val="003E2E5D"/>
    <w:rsid w:val="003E4FDB"/>
    <w:rsid w:val="003E53BA"/>
    <w:rsid w:val="003E5D30"/>
    <w:rsid w:val="003E655B"/>
    <w:rsid w:val="003E738C"/>
    <w:rsid w:val="003E7DFE"/>
    <w:rsid w:val="003F026E"/>
    <w:rsid w:val="003F08C4"/>
    <w:rsid w:val="003F099A"/>
    <w:rsid w:val="003F1223"/>
    <w:rsid w:val="003F1914"/>
    <w:rsid w:val="003F2D9C"/>
    <w:rsid w:val="003F37A7"/>
    <w:rsid w:val="003F3E07"/>
    <w:rsid w:val="003F5DE5"/>
    <w:rsid w:val="003F5FB4"/>
    <w:rsid w:val="003F6376"/>
    <w:rsid w:val="003F6C49"/>
    <w:rsid w:val="003F6EC9"/>
    <w:rsid w:val="003F720D"/>
    <w:rsid w:val="003F7E40"/>
    <w:rsid w:val="00400020"/>
    <w:rsid w:val="00400B7C"/>
    <w:rsid w:val="00401926"/>
    <w:rsid w:val="004030EE"/>
    <w:rsid w:val="0040332B"/>
    <w:rsid w:val="00404E8C"/>
    <w:rsid w:val="004059F5"/>
    <w:rsid w:val="00405F8F"/>
    <w:rsid w:val="00406561"/>
    <w:rsid w:val="00406A16"/>
    <w:rsid w:val="00407233"/>
    <w:rsid w:val="004079C5"/>
    <w:rsid w:val="00407D8E"/>
    <w:rsid w:val="0041012B"/>
    <w:rsid w:val="00410A17"/>
    <w:rsid w:val="00410B4D"/>
    <w:rsid w:val="0041236B"/>
    <w:rsid w:val="004130FB"/>
    <w:rsid w:val="00414533"/>
    <w:rsid w:val="00415872"/>
    <w:rsid w:val="00416839"/>
    <w:rsid w:val="0041764D"/>
    <w:rsid w:val="0042043D"/>
    <w:rsid w:val="00420E95"/>
    <w:rsid w:val="00421BAB"/>
    <w:rsid w:val="004227E6"/>
    <w:rsid w:val="00422FCB"/>
    <w:rsid w:val="0042376B"/>
    <w:rsid w:val="00423D16"/>
    <w:rsid w:val="00425D46"/>
    <w:rsid w:val="00426876"/>
    <w:rsid w:val="00426901"/>
    <w:rsid w:val="004273EA"/>
    <w:rsid w:val="0043111D"/>
    <w:rsid w:val="00432213"/>
    <w:rsid w:val="004356E0"/>
    <w:rsid w:val="0043637B"/>
    <w:rsid w:val="004402CA"/>
    <w:rsid w:val="0044167D"/>
    <w:rsid w:val="00441A71"/>
    <w:rsid w:val="00441E76"/>
    <w:rsid w:val="00442718"/>
    <w:rsid w:val="00444632"/>
    <w:rsid w:val="00444828"/>
    <w:rsid w:val="00445502"/>
    <w:rsid w:val="0044580E"/>
    <w:rsid w:val="004459C6"/>
    <w:rsid w:val="00446537"/>
    <w:rsid w:val="00446541"/>
    <w:rsid w:val="00446DA4"/>
    <w:rsid w:val="004472E8"/>
    <w:rsid w:val="0044737D"/>
    <w:rsid w:val="00450190"/>
    <w:rsid w:val="00450858"/>
    <w:rsid w:val="00452826"/>
    <w:rsid w:val="00452FF2"/>
    <w:rsid w:val="0045321B"/>
    <w:rsid w:val="00453B17"/>
    <w:rsid w:val="00453B8A"/>
    <w:rsid w:val="004540C7"/>
    <w:rsid w:val="00454198"/>
    <w:rsid w:val="00454C5D"/>
    <w:rsid w:val="00454C91"/>
    <w:rsid w:val="0045511E"/>
    <w:rsid w:val="004551E1"/>
    <w:rsid w:val="004555A1"/>
    <w:rsid w:val="0045691E"/>
    <w:rsid w:val="00456B5F"/>
    <w:rsid w:val="00460088"/>
    <w:rsid w:val="004609EA"/>
    <w:rsid w:val="0046281A"/>
    <w:rsid w:val="0046439D"/>
    <w:rsid w:val="0046466C"/>
    <w:rsid w:val="004703B4"/>
    <w:rsid w:val="004706CA"/>
    <w:rsid w:val="00470983"/>
    <w:rsid w:val="0047243C"/>
    <w:rsid w:val="00473C99"/>
    <w:rsid w:val="00473FCA"/>
    <w:rsid w:val="004755D8"/>
    <w:rsid w:val="00480F47"/>
    <w:rsid w:val="0048131A"/>
    <w:rsid w:val="004816C1"/>
    <w:rsid w:val="00482131"/>
    <w:rsid w:val="0048329B"/>
    <w:rsid w:val="00485A59"/>
    <w:rsid w:val="00485F7C"/>
    <w:rsid w:val="00486846"/>
    <w:rsid w:val="00487659"/>
    <w:rsid w:val="00490104"/>
    <w:rsid w:val="0049047E"/>
    <w:rsid w:val="004910C0"/>
    <w:rsid w:val="00491B91"/>
    <w:rsid w:val="004933AF"/>
    <w:rsid w:val="00493BE4"/>
    <w:rsid w:val="00495E4F"/>
    <w:rsid w:val="00496238"/>
    <w:rsid w:val="0049720C"/>
    <w:rsid w:val="00497403"/>
    <w:rsid w:val="00497E47"/>
    <w:rsid w:val="004A0255"/>
    <w:rsid w:val="004A1729"/>
    <w:rsid w:val="004A2ABA"/>
    <w:rsid w:val="004A46EF"/>
    <w:rsid w:val="004A4CBB"/>
    <w:rsid w:val="004A538E"/>
    <w:rsid w:val="004A6271"/>
    <w:rsid w:val="004B0356"/>
    <w:rsid w:val="004B0A11"/>
    <w:rsid w:val="004B16EA"/>
    <w:rsid w:val="004B2C73"/>
    <w:rsid w:val="004B4D14"/>
    <w:rsid w:val="004B55A3"/>
    <w:rsid w:val="004B59C6"/>
    <w:rsid w:val="004B658F"/>
    <w:rsid w:val="004B69DD"/>
    <w:rsid w:val="004B7B35"/>
    <w:rsid w:val="004C1687"/>
    <w:rsid w:val="004C259C"/>
    <w:rsid w:val="004C3BCE"/>
    <w:rsid w:val="004C3CA0"/>
    <w:rsid w:val="004C5C33"/>
    <w:rsid w:val="004C5EB5"/>
    <w:rsid w:val="004C754A"/>
    <w:rsid w:val="004C7840"/>
    <w:rsid w:val="004C7B0E"/>
    <w:rsid w:val="004C7DAB"/>
    <w:rsid w:val="004C7F1D"/>
    <w:rsid w:val="004D007B"/>
    <w:rsid w:val="004D0651"/>
    <w:rsid w:val="004D0696"/>
    <w:rsid w:val="004D176F"/>
    <w:rsid w:val="004D2047"/>
    <w:rsid w:val="004D36E3"/>
    <w:rsid w:val="004D4343"/>
    <w:rsid w:val="004D4AD4"/>
    <w:rsid w:val="004D58A5"/>
    <w:rsid w:val="004D6D8A"/>
    <w:rsid w:val="004D7192"/>
    <w:rsid w:val="004E1D1B"/>
    <w:rsid w:val="004E4027"/>
    <w:rsid w:val="004E402B"/>
    <w:rsid w:val="004E423F"/>
    <w:rsid w:val="004E42FD"/>
    <w:rsid w:val="004E4790"/>
    <w:rsid w:val="004E4CA5"/>
    <w:rsid w:val="004E4E5D"/>
    <w:rsid w:val="004E50CA"/>
    <w:rsid w:val="004E6CE4"/>
    <w:rsid w:val="004F009C"/>
    <w:rsid w:val="004F07EC"/>
    <w:rsid w:val="004F0A58"/>
    <w:rsid w:val="004F1864"/>
    <w:rsid w:val="004F2257"/>
    <w:rsid w:val="004F230D"/>
    <w:rsid w:val="004F3652"/>
    <w:rsid w:val="004F36AC"/>
    <w:rsid w:val="004F553F"/>
    <w:rsid w:val="004F5EFF"/>
    <w:rsid w:val="004F6B32"/>
    <w:rsid w:val="005021BF"/>
    <w:rsid w:val="00503A27"/>
    <w:rsid w:val="00503BDF"/>
    <w:rsid w:val="005050D7"/>
    <w:rsid w:val="00506591"/>
    <w:rsid w:val="00512042"/>
    <w:rsid w:val="005132A7"/>
    <w:rsid w:val="00513A63"/>
    <w:rsid w:val="0051509B"/>
    <w:rsid w:val="00515275"/>
    <w:rsid w:val="005156C8"/>
    <w:rsid w:val="00515957"/>
    <w:rsid w:val="00515995"/>
    <w:rsid w:val="00516A3C"/>
    <w:rsid w:val="00517A25"/>
    <w:rsid w:val="00522D6A"/>
    <w:rsid w:val="00523F81"/>
    <w:rsid w:val="00524569"/>
    <w:rsid w:val="0052526A"/>
    <w:rsid w:val="005262B9"/>
    <w:rsid w:val="00526D43"/>
    <w:rsid w:val="005308F6"/>
    <w:rsid w:val="00537075"/>
    <w:rsid w:val="005408D0"/>
    <w:rsid w:val="00541087"/>
    <w:rsid w:val="005416B7"/>
    <w:rsid w:val="00541D5D"/>
    <w:rsid w:val="00542961"/>
    <w:rsid w:val="00543A4A"/>
    <w:rsid w:val="00544233"/>
    <w:rsid w:val="00544DBA"/>
    <w:rsid w:val="00545307"/>
    <w:rsid w:val="00546B62"/>
    <w:rsid w:val="0054783A"/>
    <w:rsid w:val="00547DE1"/>
    <w:rsid w:val="00550011"/>
    <w:rsid w:val="005503BD"/>
    <w:rsid w:val="005504C2"/>
    <w:rsid w:val="00550A00"/>
    <w:rsid w:val="00550B57"/>
    <w:rsid w:val="00551840"/>
    <w:rsid w:val="00551FE7"/>
    <w:rsid w:val="00552696"/>
    <w:rsid w:val="00552B59"/>
    <w:rsid w:val="00553435"/>
    <w:rsid w:val="005561D1"/>
    <w:rsid w:val="00557A68"/>
    <w:rsid w:val="005601F2"/>
    <w:rsid w:val="00560995"/>
    <w:rsid w:val="00560AF6"/>
    <w:rsid w:val="00560F66"/>
    <w:rsid w:val="00560FA5"/>
    <w:rsid w:val="00562675"/>
    <w:rsid w:val="00562879"/>
    <w:rsid w:val="005634CE"/>
    <w:rsid w:val="00563A0D"/>
    <w:rsid w:val="00564953"/>
    <w:rsid w:val="0056515E"/>
    <w:rsid w:val="00565329"/>
    <w:rsid w:val="00565B60"/>
    <w:rsid w:val="00567DC1"/>
    <w:rsid w:val="005702F5"/>
    <w:rsid w:val="0057139F"/>
    <w:rsid w:val="00571974"/>
    <w:rsid w:val="00571BC0"/>
    <w:rsid w:val="00572177"/>
    <w:rsid w:val="005729AE"/>
    <w:rsid w:val="00572DDB"/>
    <w:rsid w:val="00574A8B"/>
    <w:rsid w:val="005757A1"/>
    <w:rsid w:val="00580444"/>
    <w:rsid w:val="005805A0"/>
    <w:rsid w:val="00580902"/>
    <w:rsid w:val="00581566"/>
    <w:rsid w:val="00581E00"/>
    <w:rsid w:val="0058255C"/>
    <w:rsid w:val="00582877"/>
    <w:rsid w:val="005841CC"/>
    <w:rsid w:val="0058444F"/>
    <w:rsid w:val="00585695"/>
    <w:rsid w:val="005865D4"/>
    <w:rsid w:val="005876C6"/>
    <w:rsid w:val="0059188E"/>
    <w:rsid w:val="00595E17"/>
    <w:rsid w:val="00596640"/>
    <w:rsid w:val="00597EE4"/>
    <w:rsid w:val="005A1C11"/>
    <w:rsid w:val="005A4A31"/>
    <w:rsid w:val="005A5303"/>
    <w:rsid w:val="005A5338"/>
    <w:rsid w:val="005A58EA"/>
    <w:rsid w:val="005A5C79"/>
    <w:rsid w:val="005A62F2"/>
    <w:rsid w:val="005A6AAF"/>
    <w:rsid w:val="005B1A6D"/>
    <w:rsid w:val="005B3441"/>
    <w:rsid w:val="005B57D0"/>
    <w:rsid w:val="005C009F"/>
    <w:rsid w:val="005C0211"/>
    <w:rsid w:val="005C09E2"/>
    <w:rsid w:val="005C0EBB"/>
    <w:rsid w:val="005C1D73"/>
    <w:rsid w:val="005C28D4"/>
    <w:rsid w:val="005C33B5"/>
    <w:rsid w:val="005C36B6"/>
    <w:rsid w:val="005C37FD"/>
    <w:rsid w:val="005C4146"/>
    <w:rsid w:val="005C46DF"/>
    <w:rsid w:val="005C4802"/>
    <w:rsid w:val="005C76DB"/>
    <w:rsid w:val="005D0B48"/>
    <w:rsid w:val="005D146D"/>
    <w:rsid w:val="005D176B"/>
    <w:rsid w:val="005D1DFF"/>
    <w:rsid w:val="005D23F2"/>
    <w:rsid w:val="005D3496"/>
    <w:rsid w:val="005D355F"/>
    <w:rsid w:val="005D4720"/>
    <w:rsid w:val="005D7087"/>
    <w:rsid w:val="005D7221"/>
    <w:rsid w:val="005D7478"/>
    <w:rsid w:val="005D7F95"/>
    <w:rsid w:val="005E029A"/>
    <w:rsid w:val="005E0B53"/>
    <w:rsid w:val="005E0C0B"/>
    <w:rsid w:val="005E1169"/>
    <w:rsid w:val="005E1245"/>
    <w:rsid w:val="005E13BD"/>
    <w:rsid w:val="005E358E"/>
    <w:rsid w:val="005E467F"/>
    <w:rsid w:val="005E47CA"/>
    <w:rsid w:val="005E4BB1"/>
    <w:rsid w:val="005E5A6A"/>
    <w:rsid w:val="005E66EA"/>
    <w:rsid w:val="005E7059"/>
    <w:rsid w:val="005E7EA7"/>
    <w:rsid w:val="005F01CD"/>
    <w:rsid w:val="005F17D4"/>
    <w:rsid w:val="005F2457"/>
    <w:rsid w:val="005F3CC8"/>
    <w:rsid w:val="00601208"/>
    <w:rsid w:val="00602322"/>
    <w:rsid w:val="0060241D"/>
    <w:rsid w:val="00604759"/>
    <w:rsid w:val="00604C38"/>
    <w:rsid w:val="006075BF"/>
    <w:rsid w:val="0061014C"/>
    <w:rsid w:val="006102B6"/>
    <w:rsid w:val="006107A0"/>
    <w:rsid w:val="00610A65"/>
    <w:rsid w:val="00610B0A"/>
    <w:rsid w:val="00611ABE"/>
    <w:rsid w:val="00613A4E"/>
    <w:rsid w:val="00613B60"/>
    <w:rsid w:val="00614D1B"/>
    <w:rsid w:val="00614DC3"/>
    <w:rsid w:val="006157AC"/>
    <w:rsid w:val="0062112E"/>
    <w:rsid w:val="00621198"/>
    <w:rsid w:val="00621BAA"/>
    <w:rsid w:val="00621F8A"/>
    <w:rsid w:val="00623361"/>
    <w:rsid w:val="00626F52"/>
    <w:rsid w:val="00626FB9"/>
    <w:rsid w:val="006278D5"/>
    <w:rsid w:val="00630ED3"/>
    <w:rsid w:val="0063163B"/>
    <w:rsid w:val="006339B3"/>
    <w:rsid w:val="00633EF9"/>
    <w:rsid w:val="00634ABE"/>
    <w:rsid w:val="0063505D"/>
    <w:rsid w:val="00635CA6"/>
    <w:rsid w:val="006364CA"/>
    <w:rsid w:val="006365BD"/>
    <w:rsid w:val="006369DF"/>
    <w:rsid w:val="00636B98"/>
    <w:rsid w:val="00637854"/>
    <w:rsid w:val="006407EE"/>
    <w:rsid w:val="0064184D"/>
    <w:rsid w:val="00642802"/>
    <w:rsid w:val="00642C14"/>
    <w:rsid w:val="00644C6B"/>
    <w:rsid w:val="0064621A"/>
    <w:rsid w:val="00646913"/>
    <w:rsid w:val="00646A4E"/>
    <w:rsid w:val="00650331"/>
    <w:rsid w:val="00650C3F"/>
    <w:rsid w:val="006525A2"/>
    <w:rsid w:val="00653610"/>
    <w:rsid w:val="0065761C"/>
    <w:rsid w:val="006578F5"/>
    <w:rsid w:val="006604D8"/>
    <w:rsid w:val="00660841"/>
    <w:rsid w:val="006611C5"/>
    <w:rsid w:val="006626EA"/>
    <w:rsid w:val="0066413F"/>
    <w:rsid w:val="006652D3"/>
    <w:rsid w:val="00665D54"/>
    <w:rsid w:val="006675AA"/>
    <w:rsid w:val="00671D8B"/>
    <w:rsid w:val="0067563A"/>
    <w:rsid w:val="006759E4"/>
    <w:rsid w:val="00675EBD"/>
    <w:rsid w:val="00675EC8"/>
    <w:rsid w:val="00677703"/>
    <w:rsid w:val="0068161E"/>
    <w:rsid w:val="0068192A"/>
    <w:rsid w:val="00682087"/>
    <w:rsid w:val="00683030"/>
    <w:rsid w:val="00684660"/>
    <w:rsid w:val="00684C24"/>
    <w:rsid w:val="00690ED1"/>
    <w:rsid w:val="0069611F"/>
    <w:rsid w:val="006962B2"/>
    <w:rsid w:val="00696E51"/>
    <w:rsid w:val="00697301"/>
    <w:rsid w:val="0069756E"/>
    <w:rsid w:val="006A080F"/>
    <w:rsid w:val="006A1376"/>
    <w:rsid w:val="006A43A9"/>
    <w:rsid w:val="006A501F"/>
    <w:rsid w:val="006A5170"/>
    <w:rsid w:val="006A5CB4"/>
    <w:rsid w:val="006A6F0F"/>
    <w:rsid w:val="006A7162"/>
    <w:rsid w:val="006A7CE2"/>
    <w:rsid w:val="006B0966"/>
    <w:rsid w:val="006B1A6F"/>
    <w:rsid w:val="006B2655"/>
    <w:rsid w:val="006B3D6E"/>
    <w:rsid w:val="006B5483"/>
    <w:rsid w:val="006B5844"/>
    <w:rsid w:val="006B61A1"/>
    <w:rsid w:val="006B77F5"/>
    <w:rsid w:val="006B7F04"/>
    <w:rsid w:val="006C000D"/>
    <w:rsid w:val="006C0517"/>
    <w:rsid w:val="006C335E"/>
    <w:rsid w:val="006C3E4B"/>
    <w:rsid w:val="006C48CD"/>
    <w:rsid w:val="006C5309"/>
    <w:rsid w:val="006C582E"/>
    <w:rsid w:val="006C5B3F"/>
    <w:rsid w:val="006C6658"/>
    <w:rsid w:val="006C7175"/>
    <w:rsid w:val="006C71B7"/>
    <w:rsid w:val="006C7746"/>
    <w:rsid w:val="006C7858"/>
    <w:rsid w:val="006C7F2C"/>
    <w:rsid w:val="006D0942"/>
    <w:rsid w:val="006D0ABC"/>
    <w:rsid w:val="006D1382"/>
    <w:rsid w:val="006D174D"/>
    <w:rsid w:val="006D27F3"/>
    <w:rsid w:val="006D2F8C"/>
    <w:rsid w:val="006D59D8"/>
    <w:rsid w:val="006D6252"/>
    <w:rsid w:val="006D7822"/>
    <w:rsid w:val="006E0009"/>
    <w:rsid w:val="006E06C6"/>
    <w:rsid w:val="006E0A63"/>
    <w:rsid w:val="006E1310"/>
    <w:rsid w:val="006E2A45"/>
    <w:rsid w:val="006E2AFF"/>
    <w:rsid w:val="006E2B05"/>
    <w:rsid w:val="006E3233"/>
    <w:rsid w:val="006E512E"/>
    <w:rsid w:val="006E5353"/>
    <w:rsid w:val="006E5E57"/>
    <w:rsid w:val="006F1C50"/>
    <w:rsid w:val="006F3ADC"/>
    <w:rsid w:val="006F433F"/>
    <w:rsid w:val="006F4A23"/>
    <w:rsid w:val="006F4A6F"/>
    <w:rsid w:val="006F542A"/>
    <w:rsid w:val="006F581A"/>
    <w:rsid w:val="006F721F"/>
    <w:rsid w:val="006F78BB"/>
    <w:rsid w:val="006F7AA1"/>
    <w:rsid w:val="007009C5"/>
    <w:rsid w:val="00700D5C"/>
    <w:rsid w:val="00700F1D"/>
    <w:rsid w:val="00701985"/>
    <w:rsid w:val="00701E0C"/>
    <w:rsid w:val="007020D2"/>
    <w:rsid w:val="0070246F"/>
    <w:rsid w:val="007025D0"/>
    <w:rsid w:val="00702C3F"/>
    <w:rsid w:val="00702C77"/>
    <w:rsid w:val="00703450"/>
    <w:rsid w:val="00703AD5"/>
    <w:rsid w:val="00707D66"/>
    <w:rsid w:val="0071105B"/>
    <w:rsid w:val="00711425"/>
    <w:rsid w:val="007114F4"/>
    <w:rsid w:val="00712029"/>
    <w:rsid w:val="00712E8F"/>
    <w:rsid w:val="007133CA"/>
    <w:rsid w:val="007155D6"/>
    <w:rsid w:val="00715C84"/>
    <w:rsid w:val="00716200"/>
    <w:rsid w:val="00721760"/>
    <w:rsid w:val="00723283"/>
    <w:rsid w:val="00723B99"/>
    <w:rsid w:val="00727E04"/>
    <w:rsid w:val="007316FC"/>
    <w:rsid w:val="007337F9"/>
    <w:rsid w:val="0073564E"/>
    <w:rsid w:val="00737CB4"/>
    <w:rsid w:val="007411E4"/>
    <w:rsid w:val="0074121B"/>
    <w:rsid w:val="00741AB7"/>
    <w:rsid w:val="007426F9"/>
    <w:rsid w:val="00744D54"/>
    <w:rsid w:val="0074571C"/>
    <w:rsid w:val="007473A1"/>
    <w:rsid w:val="007507A1"/>
    <w:rsid w:val="0075102B"/>
    <w:rsid w:val="00751AD2"/>
    <w:rsid w:val="00751DF9"/>
    <w:rsid w:val="00752438"/>
    <w:rsid w:val="00753174"/>
    <w:rsid w:val="00755BB9"/>
    <w:rsid w:val="00756748"/>
    <w:rsid w:val="00760DFC"/>
    <w:rsid w:val="0076109B"/>
    <w:rsid w:val="00762232"/>
    <w:rsid w:val="0076228E"/>
    <w:rsid w:val="007622BC"/>
    <w:rsid w:val="00762991"/>
    <w:rsid w:val="00763706"/>
    <w:rsid w:val="0076389C"/>
    <w:rsid w:val="0076613B"/>
    <w:rsid w:val="00767166"/>
    <w:rsid w:val="00770C56"/>
    <w:rsid w:val="00771083"/>
    <w:rsid w:val="00771208"/>
    <w:rsid w:val="00771719"/>
    <w:rsid w:val="00773355"/>
    <w:rsid w:val="007740D1"/>
    <w:rsid w:val="0077464F"/>
    <w:rsid w:val="00774662"/>
    <w:rsid w:val="00774EDB"/>
    <w:rsid w:val="00776280"/>
    <w:rsid w:val="0077692C"/>
    <w:rsid w:val="0077698A"/>
    <w:rsid w:val="00777F8B"/>
    <w:rsid w:val="007806C4"/>
    <w:rsid w:val="00781BDC"/>
    <w:rsid w:val="00782B01"/>
    <w:rsid w:val="00783213"/>
    <w:rsid w:val="00783E50"/>
    <w:rsid w:val="00784011"/>
    <w:rsid w:val="0078457C"/>
    <w:rsid w:val="00786255"/>
    <w:rsid w:val="00786801"/>
    <w:rsid w:val="00787323"/>
    <w:rsid w:val="0078752D"/>
    <w:rsid w:val="00791393"/>
    <w:rsid w:val="00791848"/>
    <w:rsid w:val="007921D1"/>
    <w:rsid w:val="00792426"/>
    <w:rsid w:val="007943D4"/>
    <w:rsid w:val="00795390"/>
    <w:rsid w:val="0079678E"/>
    <w:rsid w:val="00797E53"/>
    <w:rsid w:val="007A0FF7"/>
    <w:rsid w:val="007A16E6"/>
    <w:rsid w:val="007A1F8C"/>
    <w:rsid w:val="007A329E"/>
    <w:rsid w:val="007A365E"/>
    <w:rsid w:val="007A446D"/>
    <w:rsid w:val="007A6AC6"/>
    <w:rsid w:val="007A7418"/>
    <w:rsid w:val="007B0107"/>
    <w:rsid w:val="007B0448"/>
    <w:rsid w:val="007B0FB4"/>
    <w:rsid w:val="007B106B"/>
    <w:rsid w:val="007B17DC"/>
    <w:rsid w:val="007B21C5"/>
    <w:rsid w:val="007B25AC"/>
    <w:rsid w:val="007B3B32"/>
    <w:rsid w:val="007B4570"/>
    <w:rsid w:val="007B4E14"/>
    <w:rsid w:val="007B51B0"/>
    <w:rsid w:val="007B60D9"/>
    <w:rsid w:val="007C052D"/>
    <w:rsid w:val="007C088E"/>
    <w:rsid w:val="007C095A"/>
    <w:rsid w:val="007C0DDC"/>
    <w:rsid w:val="007C15F9"/>
    <w:rsid w:val="007C1E99"/>
    <w:rsid w:val="007C1EF7"/>
    <w:rsid w:val="007C20D1"/>
    <w:rsid w:val="007C2D77"/>
    <w:rsid w:val="007C30AB"/>
    <w:rsid w:val="007C3375"/>
    <w:rsid w:val="007C4734"/>
    <w:rsid w:val="007C5BD9"/>
    <w:rsid w:val="007C6359"/>
    <w:rsid w:val="007C635B"/>
    <w:rsid w:val="007C748E"/>
    <w:rsid w:val="007D219B"/>
    <w:rsid w:val="007D2731"/>
    <w:rsid w:val="007D2C79"/>
    <w:rsid w:val="007D3AE4"/>
    <w:rsid w:val="007D4103"/>
    <w:rsid w:val="007D47E3"/>
    <w:rsid w:val="007D5049"/>
    <w:rsid w:val="007D6446"/>
    <w:rsid w:val="007D72D0"/>
    <w:rsid w:val="007D736F"/>
    <w:rsid w:val="007D750F"/>
    <w:rsid w:val="007D7589"/>
    <w:rsid w:val="007D7872"/>
    <w:rsid w:val="007D7CE3"/>
    <w:rsid w:val="007D7F68"/>
    <w:rsid w:val="007E01A9"/>
    <w:rsid w:val="007E309E"/>
    <w:rsid w:val="007E4A9A"/>
    <w:rsid w:val="007E4B01"/>
    <w:rsid w:val="007E5367"/>
    <w:rsid w:val="007E6D07"/>
    <w:rsid w:val="007E7641"/>
    <w:rsid w:val="007E798C"/>
    <w:rsid w:val="007E7A42"/>
    <w:rsid w:val="007E7B19"/>
    <w:rsid w:val="007E7F03"/>
    <w:rsid w:val="007F0D75"/>
    <w:rsid w:val="007F0DC7"/>
    <w:rsid w:val="007F2BB7"/>
    <w:rsid w:val="007F2BCA"/>
    <w:rsid w:val="007F2D43"/>
    <w:rsid w:val="007F41B4"/>
    <w:rsid w:val="007F5FF2"/>
    <w:rsid w:val="007F7E3B"/>
    <w:rsid w:val="0080265E"/>
    <w:rsid w:val="00803644"/>
    <w:rsid w:val="008037FA"/>
    <w:rsid w:val="008039F8"/>
    <w:rsid w:val="00803F21"/>
    <w:rsid w:val="00804A7D"/>
    <w:rsid w:val="00805828"/>
    <w:rsid w:val="00806870"/>
    <w:rsid w:val="00807590"/>
    <w:rsid w:val="008110D7"/>
    <w:rsid w:val="008112AF"/>
    <w:rsid w:val="008113BD"/>
    <w:rsid w:val="008130B1"/>
    <w:rsid w:val="00813BAA"/>
    <w:rsid w:val="00814D2E"/>
    <w:rsid w:val="008151C8"/>
    <w:rsid w:val="008207C9"/>
    <w:rsid w:val="00821ACD"/>
    <w:rsid w:val="0082289A"/>
    <w:rsid w:val="00823A4C"/>
    <w:rsid w:val="00826C4A"/>
    <w:rsid w:val="008275AF"/>
    <w:rsid w:val="00832A79"/>
    <w:rsid w:val="00832E23"/>
    <w:rsid w:val="008341EB"/>
    <w:rsid w:val="008348ED"/>
    <w:rsid w:val="00835250"/>
    <w:rsid w:val="00836737"/>
    <w:rsid w:val="00837CFC"/>
    <w:rsid w:val="00841FFF"/>
    <w:rsid w:val="008429F8"/>
    <w:rsid w:val="00842AD1"/>
    <w:rsid w:val="008439F4"/>
    <w:rsid w:val="008444E0"/>
    <w:rsid w:val="00846656"/>
    <w:rsid w:val="0084708E"/>
    <w:rsid w:val="00847EF3"/>
    <w:rsid w:val="00850709"/>
    <w:rsid w:val="00851C17"/>
    <w:rsid w:val="00852A06"/>
    <w:rsid w:val="00853D6B"/>
    <w:rsid w:val="00854116"/>
    <w:rsid w:val="00854F01"/>
    <w:rsid w:val="008625C8"/>
    <w:rsid w:val="0086283C"/>
    <w:rsid w:val="00862EB8"/>
    <w:rsid w:val="00863560"/>
    <w:rsid w:val="00864432"/>
    <w:rsid w:val="008644AF"/>
    <w:rsid w:val="00864A2C"/>
    <w:rsid w:val="00864E45"/>
    <w:rsid w:val="00864EA1"/>
    <w:rsid w:val="00865309"/>
    <w:rsid w:val="00866330"/>
    <w:rsid w:val="0086649A"/>
    <w:rsid w:val="008706D2"/>
    <w:rsid w:val="00870965"/>
    <w:rsid w:val="00870C2F"/>
    <w:rsid w:val="008710B1"/>
    <w:rsid w:val="008714CC"/>
    <w:rsid w:val="0087220F"/>
    <w:rsid w:val="00872E34"/>
    <w:rsid w:val="00872E76"/>
    <w:rsid w:val="00872F14"/>
    <w:rsid w:val="00875D76"/>
    <w:rsid w:val="00875F2F"/>
    <w:rsid w:val="00876CC0"/>
    <w:rsid w:val="00876DCC"/>
    <w:rsid w:val="00877F05"/>
    <w:rsid w:val="008801E0"/>
    <w:rsid w:val="008812C3"/>
    <w:rsid w:val="00881CC6"/>
    <w:rsid w:val="00883658"/>
    <w:rsid w:val="00885DB6"/>
    <w:rsid w:val="0088708D"/>
    <w:rsid w:val="00894187"/>
    <w:rsid w:val="00896B2E"/>
    <w:rsid w:val="00896D42"/>
    <w:rsid w:val="00897811"/>
    <w:rsid w:val="008A1241"/>
    <w:rsid w:val="008A1B7D"/>
    <w:rsid w:val="008A2246"/>
    <w:rsid w:val="008A3A56"/>
    <w:rsid w:val="008A41E1"/>
    <w:rsid w:val="008A5855"/>
    <w:rsid w:val="008A70B3"/>
    <w:rsid w:val="008A7EFD"/>
    <w:rsid w:val="008B0698"/>
    <w:rsid w:val="008B2BEA"/>
    <w:rsid w:val="008B352B"/>
    <w:rsid w:val="008B36D2"/>
    <w:rsid w:val="008B3774"/>
    <w:rsid w:val="008B3905"/>
    <w:rsid w:val="008B42C7"/>
    <w:rsid w:val="008C1AAA"/>
    <w:rsid w:val="008C24BA"/>
    <w:rsid w:val="008C2FBC"/>
    <w:rsid w:val="008C40F1"/>
    <w:rsid w:val="008C5F2C"/>
    <w:rsid w:val="008C75AC"/>
    <w:rsid w:val="008C7784"/>
    <w:rsid w:val="008C77EA"/>
    <w:rsid w:val="008C7A41"/>
    <w:rsid w:val="008D0AB5"/>
    <w:rsid w:val="008D1A36"/>
    <w:rsid w:val="008D206C"/>
    <w:rsid w:val="008D2290"/>
    <w:rsid w:val="008D27F0"/>
    <w:rsid w:val="008D280C"/>
    <w:rsid w:val="008D2AE4"/>
    <w:rsid w:val="008D3B09"/>
    <w:rsid w:val="008D4360"/>
    <w:rsid w:val="008D4464"/>
    <w:rsid w:val="008D4874"/>
    <w:rsid w:val="008D5C07"/>
    <w:rsid w:val="008D5CA0"/>
    <w:rsid w:val="008D6CF3"/>
    <w:rsid w:val="008D788F"/>
    <w:rsid w:val="008E374A"/>
    <w:rsid w:val="008E6A5C"/>
    <w:rsid w:val="008F0378"/>
    <w:rsid w:val="008F3DFE"/>
    <w:rsid w:val="008F3F05"/>
    <w:rsid w:val="008F679C"/>
    <w:rsid w:val="008F713C"/>
    <w:rsid w:val="008F7768"/>
    <w:rsid w:val="00901781"/>
    <w:rsid w:val="00902A3C"/>
    <w:rsid w:val="009060CB"/>
    <w:rsid w:val="009062D9"/>
    <w:rsid w:val="00906B3E"/>
    <w:rsid w:val="00907DC8"/>
    <w:rsid w:val="009111A5"/>
    <w:rsid w:val="009114F9"/>
    <w:rsid w:val="00911A79"/>
    <w:rsid w:val="00913BA1"/>
    <w:rsid w:val="00914A80"/>
    <w:rsid w:val="00915A1F"/>
    <w:rsid w:val="00916219"/>
    <w:rsid w:val="00920434"/>
    <w:rsid w:val="00920F46"/>
    <w:rsid w:val="00920F5B"/>
    <w:rsid w:val="0092120F"/>
    <w:rsid w:val="00922CB1"/>
    <w:rsid w:val="00923306"/>
    <w:rsid w:val="00923A11"/>
    <w:rsid w:val="00926739"/>
    <w:rsid w:val="00927D0B"/>
    <w:rsid w:val="00930460"/>
    <w:rsid w:val="0093410D"/>
    <w:rsid w:val="00936C4E"/>
    <w:rsid w:val="00936E15"/>
    <w:rsid w:val="00941225"/>
    <w:rsid w:val="0094157E"/>
    <w:rsid w:val="009416BC"/>
    <w:rsid w:val="00942004"/>
    <w:rsid w:val="00942D73"/>
    <w:rsid w:val="00946B17"/>
    <w:rsid w:val="00946C2F"/>
    <w:rsid w:val="00947FDE"/>
    <w:rsid w:val="009501F4"/>
    <w:rsid w:val="0095064E"/>
    <w:rsid w:val="009513F6"/>
    <w:rsid w:val="00951EB2"/>
    <w:rsid w:val="00953841"/>
    <w:rsid w:val="00953DB9"/>
    <w:rsid w:val="00954AF2"/>
    <w:rsid w:val="009571AD"/>
    <w:rsid w:val="009574FB"/>
    <w:rsid w:val="009601EA"/>
    <w:rsid w:val="009620C8"/>
    <w:rsid w:val="009625B5"/>
    <w:rsid w:val="009625BF"/>
    <w:rsid w:val="009627EC"/>
    <w:rsid w:val="00963104"/>
    <w:rsid w:val="00964409"/>
    <w:rsid w:val="009644BF"/>
    <w:rsid w:val="00965404"/>
    <w:rsid w:val="009660E3"/>
    <w:rsid w:val="00970AD2"/>
    <w:rsid w:val="00970EC6"/>
    <w:rsid w:val="009723E6"/>
    <w:rsid w:val="009724C3"/>
    <w:rsid w:val="00972556"/>
    <w:rsid w:val="009748FB"/>
    <w:rsid w:val="0097516A"/>
    <w:rsid w:val="009760E5"/>
    <w:rsid w:val="00976479"/>
    <w:rsid w:val="009764AB"/>
    <w:rsid w:val="00976AC4"/>
    <w:rsid w:val="00977E1C"/>
    <w:rsid w:val="00980169"/>
    <w:rsid w:val="00980D45"/>
    <w:rsid w:val="0098169D"/>
    <w:rsid w:val="00981D86"/>
    <w:rsid w:val="00982AF6"/>
    <w:rsid w:val="00983135"/>
    <w:rsid w:val="00983688"/>
    <w:rsid w:val="0098646F"/>
    <w:rsid w:val="00987C91"/>
    <w:rsid w:val="009903D6"/>
    <w:rsid w:val="0099274B"/>
    <w:rsid w:val="00992BC7"/>
    <w:rsid w:val="009941B8"/>
    <w:rsid w:val="00995335"/>
    <w:rsid w:val="00995AAE"/>
    <w:rsid w:val="009966EA"/>
    <w:rsid w:val="00996803"/>
    <w:rsid w:val="00996ACF"/>
    <w:rsid w:val="0099733A"/>
    <w:rsid w:val="009978C2"/>
    <w:rsid w:val="009A1709"/>
    <w:rsid w:val="009A2EF8"/>
    <w:rsid w:val="009A422D"/>
    <w:rsid w:val="009A4775"/>
    <w:rsid w:val="009A4B89"/>
    <w:rsid w:val="009A623E"/>
    <w:rsid w:val="009A6445"/>
    <w:rsid w:val="009B01B1"/>
    <w:rsid w:val="009B081A"/>
    <w:rsid w:val="009B0BFA"/>
    <w:rsid w:val="009B20D0"/>
    <w:rsid w:val="009B427E"/>
    <w:rsid w:val="009B776B"/>
    <w:rsid w:val="009C0EA3"/>
    <w:rsid w:val="009C12A4"/>
    <w:rsid w:val="009C1F51"/>
    <w:rsid w:val="009C2775"/>
    <w:rsid w:val="009C4F99"/>
    <w:rsid w:val="009C50C7"/>
    <w:rsid w:val="009C527D"/>
    <w:rsid w:val="009C5412"/>
    <w:rsid w:val="009C5A14"/>
    <w:rsid w:val="009C5D2D"/>
    <w:rsid w:val="009C71D1"/>
    <w:rsid w:val="009D3ECC"/>
    <w:rsid w:val="009D4305"/>
    <w:rsid w:val="009D4EE5"/>
    <w:rsid w:val="009D4FAA"/>
    <w:rsid w:val="009D690E"/>
    <w:rsid w:val="009D6FB3"/>
    <w:rsid w:val="009E0504"/>
    <w:rsid w:val="009E1369"/>
    <w:rsid w:val="009E1AFE"/>
    <w:rsid w:val="009E3963"/>
    <w:rsid w:val="009E4A48"/>
    <w:rsid w:val="009E5684"/>
    <w:rsid w:val="009E710E"/>
    <w:rsid w:val="009F1043"/>
    <w:rsid w:val="009F3190"/>
    <w:rsid w:val="009F3C94"/>
    <w:rsid w:val="009F47DF"/>
    <w:rsid w:val="009F5085"/>
    <w:rsid w:val="009F534B"/>
    <w:rsid w:val="009F5DFA"/>
    <w:rsid w:val="009F60E3"/>
    <w:rsid w:val="009F6EE7"/>
    <w:rsid w:val="009F6F81"/>
    <w:rsid w:val="00A00D3F"/>
    <w:rsid w:val="00A0196F"/>
    <w:rsid w:val="00A01B6F"/>
    <w:rsid w:val="00A026A4"/>
    <w:rsid w:val="00A02C88"/>
    <w:rsid w:val="00A032E9"/>
    <w:rsid w:val="00A035A5"/>
    <w:rsid w:val="00A04B93"/>
    <w:rsid w:val="00A05FFC"/>
    <w:rsid w:val="00A0641F"/>
    <w:rsid w:val="00A0678A"/>
    <w:rsid w:val="00A06BA7"/>
    <w:rsid w:val="00A07278"/>
    <w:rsid w:val="00A10817"/>
    <w:rsid w:val="00A11698"/>
    <w:rsid w:val="00A11B3F"/>
    <w:rsid w:val="00A11B6A"/>
    <w:rsid w:val="00A127D5"/>
    <w:rsid w:val="00A14C7B"/>
    <w:rsid w:val="00A150FD"/>
    <w:rsid w:val="00A16CF1"/>
    <w:rsid w:val="00A17324"/>
    <w:rsid w:val="00A20A2E"/>
    <w:rsid w:val="00A21836"/>
    <w:rsid w:val="00A23FF6"/>
    <w:rsid w:val="00A243CD"/>
    <w:rsid w:val="00A26DFC"/>
    <w:rsid w:val="00A27CB2"/>
    <w:rsid w:val="00A30477"/>
    <w:rsid w:val="00A346EB"/>
    <w:rsid w:val="00A34C38"/>
    <w:rsid w:val="00A34F8B"/>
    <w:rsid w:val="00A35D99"/>
    <w:rsid w:val="00A36899"/>
    <w:rsid w:val="00A368E4"/>
    <w:rsid w:val="00A37522"/>
    <w:rsid w:val="00A40308"/>
    <w:rsid w:val="00A40516"/>
    <w:rsid w:val="00A40A41"/>
    <w:rsid w:val="00A40C1C"/>
    <w:rsid w:val="00A41BBA"/>
    <w:rsid w:val="00A425B5"/>
    <w:rsid w:val="00A426D3"/>
    <w:rsid w:val="00A428B5"/>
    <w:rsid w:val="00A439E3"/>
    <w:rsid w:val="00A44F85"/>
    <w:rsid w:val="00A4530B"/>
    <w:rsid w:val="00A4541A"/>
    <w:rsid w:val="00A4676B"/>
    <w:rsid w:val="00A50A71"/>
    <w:rsid w:val="00A5167D"/>
    <w:rsid w:val="00A55C15"/>
    <w:rsid w:val="00A55C47"/>
    <w:rsid w:val="00A56E68"/>
    <w:rsid w:val="00A56F3C"/>
    <w:rsid w:val="00A60FDB"/>
    <w:rsid w:val="00A61346"/>
    <w:rsid w:val="00A61A8C"/>
    <w:rsid w:val="00A658DB"/>
    <w:rsid w:val="00A66237"/>
    <w:rsid w:val="00A66C27"/>
    <w:rsid w:val="00A67868"/>
    <w:rsid w:val="00A7033D"/>
    <w:rsid w:val="00A709FD"/>
    <w:rsid w:val="00A7186F"/>
    <w:rsid w:val="00A72554"/>
    <w:rsid w:val="00A72B70"/>
    <w:rsid w:val="00A73716"/>
    <w:rsid w:val="00A74308"/>
    <w:rsid w:val="00A74548"/>
    <w:rsid w:val="00A7481C"/>
    <w:rsid w:val="00A770CE"/>
    <w:rsid w:val="00A774C5"/>
    <w:rsid w:val="00A80008"/>
    <w:rsid w:val="00A8061A"/>
    <w:rsid w:val="00A811EF"/>
    <w:rsid w:val="00A81BDC"/>
    <w:rsid w:val="00A8273B"/>
    <w:rsid w:val="00A82D3D"/>
    <w:rsid w:val="00A82F14"/>
    <w:rsid w:val="00A83C62"/>
    <w:rsid w:val="00A85434"/>
    <w:rsid w:val="00A855AF"/>
    <w:rsid w:val="00A86254"/>
    <w:rsid w:val="00A8645B"/>
    <w:rsid w:val="00A8671A"/>
    <w:rsid w:val="00A8762C"/>
    <w:rsid w:val="00A87698"/>
    <w:rsid w:val="00A87970"/>
    <w:rsid w:val="00A901C5"/>
    <w:rsid w:val="00A90DD1"/>
    <w:rsid w:val="00A91F13"/>
    <w:rsid w:val="00A9529D"/>
    <w:rsid w:val="00A95D1B"/>
    <w:rsid w:val="00A96799"/>
    <w:rsid w:val="00A96FD3"/>
    <w:rsid w:val="00AA0428"/>
    <w:rsid w:val="00AA0B55"/>
    <w:rsid w:val="00AA1EF8"/>
    <w:rsid w:val="00AA295E"/>
    <w:rsid w:val="00AA383E"/>
    <w:rsid w:val="00AA389B"/>
    <w:rsid w:val="00AA46CE"/>
    <w:rsid w:val="00AA5FA5"/>
    <w:rsid w:val="00AA7302"/>
    <w:rsid w:val="00AB07E5"/>
    <w:rsid w:val="00AB16FD"/>
    <w:rsid w:val="00AB24F9"/>
    <w:rsid w:val="00AB3BBF"/>
    <w:rsid w:val="00AB481D"/>
    <w:rsid w:val="00AB4820"/>
    <w:rsid w:val="00AB50C3"/>
    <w:rsid w:val="00AB56BD"/>
    <w:rsid w:val="00AB5C67"/>
    <w:rsid w:val="00AB7D96"/>
    <w:rsid w:val="00AC0BA5"/>
    <w:rsid w:val="00AC250F"/>
    <w:rsid w:val="00AC3018"/>
    <w:rsid w:val="00AC5180"/>
    <w:rsid w:val="00AC682B"/>
    <w:rsid w:val="00AC717B"/>
    <w:rsid w:val="00AD14B8"/>
    <w:rsid w:val="00AD1804"/>
    <w:rsid w:val="00AD18E9"/>
    <w:rsid w:val="00AD237A"/>
    <w:rsid w:val="00AD2D98"/>
    <w:rsid w:val="00AD32B0"/>
    <w:rsid w:val="00AD32BC"/>
    <w:rsid w:val="00AD6D6C"/>
    <w:rsid w:val="00AD6F2E"/>
    <w:rsid w:val="00AD72BB"/>
    <w:rsid w:val="00AD762C"/>
    <w:rsid w:val="00AE12E1"/>
    <w:rsid w:val="00AE15DF"/>
    <w:rsid w:val="00AE17D1"/>
    <w:rsid w:val="00AE1BC9"/>
    <w:rsid w:val="00AE249C"/>
    <w:rsid w:val="00AE281E"/>
    <w:rsid w:val="00AE29CD"/>
    <w:rsid w:val="00AE2AD8"/>
    <w:rsid w:val="00AE2DEA"/>
    <w:rsid w:val="00AE46F9"/>
    <w:rsid w:val="00AE4D43"/>
    <w:rsid w:val="00AE4DE9"/>
    <w:rsid w:val="00AE57A9"/>
    <w:rsid w:val="00AE71DB"/>
    <w:rsid w:val="00AE7C7E"/>
    <w:rsid w:val="00AF16F6"/>
    <w:rsid w:val="00AF3D09"/>
    <w:rsid w:val="00AF5555"/>
    <w:rsid w:val="00AF63F1"/>
    <w:rsid w:val="00AF70CE"/>
    <w:rsid w:val="00B01C9C"/>
    <w:rsid w:val="00B042B2"/>
    <w:rsid w:val="00B045A2"/>
    <w:rsid w:val="00B05134"/>
    <w:rsid w:val="00B05C32"/>
    <w:rsid w:val="00B063F8"/>
    <w:rsid w:val="00B06D26"/>
    <w:rsid w:val="00B06E8C"/>
    <w:rsid w:val="00B1032F"/>
    <w:rsid w:val="00B10E5E"/>
    <w:rsid w:val="00B119F0"/>
    <w:rsid w:val="00B12D80"/>
    <w:rsid w:val="00B14227"/>
    <w:rsid w:val="00B14E91"/>
    <w:rsid w:val="00B150DC"/>
    <w:rsid w:val="00B1521A"/>
    <w:rsid w:val="00B1541D"/>
    <w:rsid w:val="00B154A5"/>
    <w:rsid w:val="00B16FDA"/>
    <w:rsid w:val="00B20D2B"/>
    <w:rsid w:val="00B22450"/>
    <w:rsid w:val="00B224FB"/>
    <w:rsid w:val="00B23375"/>
    <w:rsid w:val="00B238E6"/>
    <w:rsid w:val="00B23AAB"/>
    <w:rsid w:val="00B240F3"/>
    <w:rsid w:val="00B2412A"/>
    <w:rsid w:val="00B24A69"/>
    <w:rsid w:val="00B24CD2"/>
    <w:rsid w:val="00B25290"/>
    <w:rsid w:val="00B2549C"/>
    <w:rsid w:val="00B25830"/>
    <w:rsid w:val="00B25FE5"/>
    <w:rsid w:val="00B260E2"/>
    <w:rsid w:val="00B264AC"/>
    <w:rsid w:val="00B26A1C"/>
    <w:rsid w:val="00B2788E"/>
    <w:rsid w:val="00B27A3D"/>
    <w:rsid w:val="00B3406E"/>
    <w:rsid w:val="00B344BB"/>
    <w:rsid w:val="00B35361"/>
    <w:rsid w:val="00B35ACC"/>
    <w:rsid w:val="00B370CC"/>
    <w:rsid w:val="00B376F1"/>
    <w:rsid w:val="00B3774C"/>
    <w:rsid w:val="00B37800"/>
    <w:rsid w:val="00B408A0"/>
    <w:rsid w:val="00B41418"/>
    <w:rsid w:val="00B41C4A"/>
    <w:rsid w:val="00B426AA"/>
    <w:rsid w:val="00B44E3F"/>
    <w:rsid w:val="00B4566F"/>
    <w:rsid w:val="00B46000"/>
    <w:rsid w:val="00B477DB"/>
    <w:rsid w:val="00B47FC3"/>
    <w:rsid w:val="00B5000C"/>
    <w:rsid w:val="00B5017F"/>
    <w:rsid w:val="00B506E5"/>
    <w:rsid w:val="00B50B99"/>
    <w:rsid w:val="00B50F01"/>
    <w:rsid w:val="00B52B21"/>
    <w:rsid w:val="00B52D92"/>
    <w:rsid w:val="00B53C25"/>
    <w:rsid w:val="00B54726"/>
    <w:rsid w:val="00B54F6C"/>
    <w:rsid w:val="00B550A2"/>
    <w:rsid w:val="00B5747B"/>
    <w:rsid w:val="00B57E36"/>
    <w:rsid w:val="00B607AB"/>
    <w:rsid w:val="00B60CE6"/>
    <w:rsid w:val="00B6115B"/>
    <w:rsid w:val="00B616E4"/>
    <w:rsid w:val="00B63BE0"/>
    <w:rsid w:val="00B64366"/>
    <w:rsid w:val="00B64CDD"/>
    <w:rsid w:val="00B64DFF"/>
    <w:rsid w:val="00B6594E"/>
    <w:rsid w:val="00B66DD3"/>
    <w:rsid w:val="00B66FEF"/>
    <w:rsid w:val="00B673F8"/>
    <w:rsid w:val="00B674C7"/>
    <w:rsid w:val="00B67576"/>
    <w:rsid w:val="00B678E9"/>
    <w:rsid w:val="00B73B4B"/>
    <w:rsid w:val="00B74341"/>
    <w:rsid w:val="00B74D32"/>
    <w:rsid w:val="00B75694"/>
    <w:rsid w:val="00B773DF"/>
    <w:rsid w:val="00B80575"/>
    <w:rsid w:val="00B810D2"/>
    <w:rsid w:val="00B83582"/>
    <w:rsid w:val="00B837FF"/>
    <w:rsid w:val="00B83B76"/>
    <w:rsid w:val="00B86061"/>
    <w:rsid w:val="00B8645A"/>
    <w:rsid w:val="00B87D77"/>
    <w:rsid w:val="00B90445"/>
    <w:rsid w:val="00B91719"/>
    <w:rsid w:val="00B921C9"/>
    <w:rsid w:val="00B92FBC"/>
    <w:rsid w:val="00B93418"/>
    <w:rsid w:val="00B939E2"/>
    <w:rsid w:val="00B94DB0"/>
    <w:rsid w:val="00B950B7"/>
    <w:rsid w:val="00B955DA"/>
    <w:rsid w:val="00B96CAC"/>
    <w:rsid w:val="00B973BE"/>
    <w:rsid w:val="00BA10F8"/>
    <w:rsid w:val="00BA1141"/>
    <w:rsid w:val="00BA48AF"/>
    <w:rsid w:val="00BA6581"/>
    <w:rsid w:val="00BB04F8"/>
    <w:rsid w:val="00BB0503"/>
    <w:rsid w:val="00BB056C"/>
    <w:rsid w:val="00BB06BF"/>
    <w:rsid w:val="00BB098B"/>
    <w:rsid w:val="00BB0E03"/>
    <w:rsid w:val="00BB0FA3"/>
    <w:rsid w:val="00BB10AB"/>
    <w:rsid w:val="00BB1B6A"/>
    <w:rsid w:val="00BB2448"/>
    <w:rsid w:val="00BB247C"/>
    <w:rsid w:val="00BB255B"/>
    <w:rsid w:val="00BB3A64"/>
    <w:rsid w:val="00BB3B72"/>
    <w:rsid w:val="00BB436C"/>
    <w:rsid w:val="00BB58CF"/>
    <w:rsid w:val="00BB781F"/>
    <w:rsid w:val="00BC0B4C"/>
    <w:rsid w:val="00BC1C31"/>
    <w:rsid w:val="00BC3E74"/>
    <w:rsid w:val="00BC425D"/>
    <w:rsid w:val="00BC5367"/>
    <w:rsid w:val="00BC78A5"/>
    <w:rsid w:val="00BD02BF"/>
    <w:rsid w:val="00BD2ECC"/>
    <w:rsid w:val="00BD3D6B"/>
    <w:rsid w:val="00BD4655"/>
    <w:rsid w:val="00BD50A4"/>
    <w:rsid w:val="00BD5F3A"/>
    <w:rsid w:val="00BD7B17"/>
    <w:rsid w:val="00BE0935"/>
    <w:rsid w:val="00BE0D4E"/>
    <w:rsid w:val="00BE0F3A"/>
    <w:rsid w:val="00BE1D3A"/>
    <w:rsid w:val="00BE3178"/>
    <w:rsid w:val="00BE5874"/>
    <w:rsid w:val="00BE5CFF"/>
    <w:rsid w:val="00BE684B"/>
    <w:rsid w:val="00BE75E7"/>
    <w:rsid w:val="00BE75F9"/>
    <w:rsid w:val="00BE7771"/>
    <w:rsid w:val="00BF02DA"/>
    <w:rsid w:val="00BF02E0"/>
    <w:rsid w:val="00BF047C"/>
    <w:rsid w:val="00BF103F"/>
    <w:rsid w:val="00BF205D"/>
    <w:rsid w:val="00BF384D"/>
    <w:rsid w:val="00BF419C"/>
    <w:rsid w:val="00BF4711"/>
    <w:rsid w:val="00BF5322"/>
    <w:rsid w:val="00BF58E9"/>
    <w:rsid w:val="00BF6693"/>
    <w:rsid w:val="00BF6CD4"/>
    <w:rsid w:val="00BF7777"/>
    <w:rsid w:val="00BF7BD2"/>
    <w:rsid w:val="00C00450"/>
    <w:rsid w:val="00C00516"/>
    <w:rsid w:val="00C0139D"/>
    <w:rsid w:val="00C01644"/>
    <w:rsid w:val="00C02521"/>
    <w:rsid w:val="00C05407"/>
    <w:rsid w:val="00C06714"/>
    <w:rsid w:val="00C11883"/>
    <w:rsid w:val="00C129F5"/>
    <w:rsid w:val="00C145D9"/>
    <w:rsid w:val="00C16913"/>
    <w:rsid w:val="00C1754B"/>
    <w:rsid w:val="00C17AA5"/>
    <w:rsid w:val="00C20B8D"/>
    <w:rsid w:val="00C215D8"/>
    <w:rsid w:val="00C22436"/>
    <w:rsid w:val="00C237BA"/>
    <w:rsid w:val="00C23B6E"/>
    <w:rsid w:val="00C24832"/>
    <w:rsid w:val="00C253D6"/>
    <w:rsid w:val="00C26922"/>
    <w:rsid w:val="00C2703A"/>
    <w:rsid w:val="00C276CD"/>
    <w:rsid w:val="00C30B60"/>
    <w:rsid w:val="00C327C5"/>
    <w:rsid w:val="00C334B5"/>
    <w:rsid w:val="00C3363C"/>
    <w:rsid w:val="00C34279"/>
    <w:rsid w:val="00C348E2"/>
    <w:rsid w:val="00C3586E"/>
    <w:rsid w:val="00C36478"/>
    <w:rsid w:val="00C367F6"/>
    <w:rsid w:val="00C36D8B"/>
    <w:rsid w:val="00C3740B"/>
    <w:rsid w:val="00C3782D"/>
    <w:rsid w:val="00C409E2"/>
    <w:rsid w:val="00C422FD"/>
    <w:rsid w:val="00C42E29"/>
    <w:rsid w:val="00C439F3"/>
    <w:rsid w:val="00C464F6"/>
    <w:rsid w:val="00C46F40"/>
    <w:rsid w:val="00C47580"/>
    <w:rsid w:val="00C4791F"/>
    <w:rsid w:val="00C5029B"/>
    <w:rsid w:val="00C504A8"/>
    <w:rsid w:val="00C506D5"/>
    <w:rsid w:val="00C5307B"/>
    <w:rsid w:val="00C5345A"/>
    <w:rsid w:val="00C5404D"/>
    <w:rsid w:val="00C5470E"/>
    <w:rsid w:val="00C54F63"/>
    <w:rsid w:val="00C55976"/>
    <w:rsid w:val="00C5631C"/>
    <w:rsid w:val="00C56590"/>
    <w:rsid w:val="00C57135"/>
    <w:rsid w:val="00C57740"/>
    <w:rsid w:val="00C57797"/>
    <w:rsid w:val="00C61B6F"/>
    <w:rsid w:val="00C61FF6"/>
    <w:rsid w:val="00C62212"/>
    <w:rsid w:val="00C6269C"/>
    <w:rsid w:val="00C6307F"/>
    <w:rsid w:val="00C63B96"/>
    <w:rsid w:val="00C6511E"/>
    <w:rsid w:val="00C65FBF"/>
    <w:rsid w:val="00C6614F"/>
    <w:rsid w:val="00C67441"/>
    <w:rsid w:val="00C674D8"/>
    <w:rsid w:val="00C700EB"/>
    <w:rsid w:val="00C70255"/>
    <w:rsid w:val="00C70EBE"/>
    <w:rsid w:val="00C71C3E"/>
    <w:rsid w:val="00C744C2"/>
    <w:rsid w:val="00C74E06"/>
    <w:rsid w:val="00C75E42"/>
    <w:rsid w:val="00C76682"/>
    <w:rsid w:val="00C76918"/>
    <w:rsid w:val="00C77124"/>
    <w:rsid w:val="00C77519"/>
    <w:rsid w:val="00C80871"/>
    <w:rsid w:val="00C826FD"/>
    <w:rsid w:val="00C837BD"/>
    <w:rsid w:val="00C8426A"/>
    <w:rsid w:val="00C85064"/>
    <w:rsid w:val="00C85188"/>
    <w:rsid w:val="00C86110"/>
    <w:rsid w:val="00C862B1"/>
    <w:rsid w:val="00C862CD"/>
    <w:rsid w:val="00C8786F"/>
    <w:rsid w:val="00C9016D"/>
    <w:rsid w:val="00C90322"/>
    <w:rsid w:val="00C90DEF"/>
    <w:rsid w:val="00C91215"/>
    <w:rsid w:val="00C9122B"/>
    <w:rsid w:val="00C91729"/>
    <w:rsid w:val="00C94097"/>
    <w:rsid w:val="00C949D4"/>
    <w:rsid w:val="00C94B87"/>
    <w:rsid w:val="00C95092"/>
    <w:rsid w:val="00C9515E"/>
    <w:rsid w:val="00C95730"/>
    <w:rsid w:val="00C95B67"/>
    <w:rsid w:val="00C96254"/>
    <w:rsid w:val="00C9684A"/>
    <w:rsid w:val="00C97FA1"/>
    <w:rsid w:val="00CA0CA7"/>
    <w:rsid w:val="00CA1122"/>
    <w:rsid w:val="00CA135D"/>
    <w:rsid w:val="00CA1A61"/>
    <w:rsid w:val="00CA544E"/>
    <w:rsid w:val="00CA5912"/>
    <w:rsid w:val="00CA6ECA"/>
    <w:rsid w:val="00CB0BD8"/>
    <w:rsid w:val="00CB1D4D"/>
    <w:rsid w:val="00CB210E"/>
    <w:rsid w:val="00CB3EF8"/>
    <w:rsid w:val="00CB4981"/>
    <w:rsid w:val="00CB505A"/>
    <w:rsid w:val="00CB53F6"/>
    <w:rsid w:val="00CB6966"/>
    <w:rsid w:val="00CB6BDC"/>
    <w:rsid w:val="00CB6DAB"/>
    <w:rsid w:val="00CB6E56"/>
    <w:rsid w:val="00CB7AB0"/>
    <w:rsid w:val="00CB7F9C"/>
    <w:rsid w:val="00CC0CAB"/>
    <w:rsid w:val="00CC1FB6"/>
    <w:rsid w:val="00CC201F"/>
    <w:rsid w:val="00CC3266"/>
    <w:rsid w:val="00CC4875"/>
    <w:rsid w:val="00CC504B"/>
    <w:rsid w:val="00CC5D82"/>
    <w:rsid w:val="00CC6224"/>
    <w:rsid w:val="00CC761A"/>
    <w:rsid w:val="00CD062D"/>
    <w:rsid w:val="00CD0BB1"/>
    <w:rsid w:val="00CD5D95"/>
    <w:rsid w:val="00CD5DFD"/>
    <w:rsid w:val="00CD673B"/>
    <w:rsid w:val="00CD6E73"/>
    <w:rsid w:val="00CD7F6F"/>
    <w:rsid w:val="00CE09F3"/>
    <w:rsid w:val="00CE0A6C"/>
    <w:rsid w:val="00CE4000"/>
    <w:rsid w:val="00CE4257"/>
    <w:rsid w:val="00CE642C"/>
    <w:rsid w:val="00CE72A1"/>
    <w:rsid w:val="00CE756B"/>
    <w:rsid w:val="00CE7DAE"/>
    <w:rsid w:val="00CF241B"/>
    <w:rsid w:val="00CF292D"/>
    <w:rsid w:val="00CF3273"/>
    <w:rsid w:val="00CF36BD"/>
    <w:rsid w:val="00CF3CB0"/>
    <w:rsid w:val="00CF4291"/>
    <w:rsid w:val="00CF5279"/>
    <w:rsid w:val="00CF5542"/>
    <w:rsid w:val="00CF70B0"/>
    <w:rsid w:val="00D01A32"/>
    <w:rsid w:val="00D026ED"/>
    <w:rsid w:val="00D0442E"/>
    <w:rsid w:val="00D05375"/>
    <w:rsid w:val="00D05A97"/>
    <w:rsid w:val="00D05B97"/>
    <w:rsid w:val="00D1150E"/>
    <w:rsid w:val="00D11C94"/>
    <w:rsid w:val="00D12338"/>
    <w:rsid w:val="00D12712"/>
    <w:rsid w:val="00D14EAE"/>
    <w:rsid w:val="00D153EA"/>
    <w:rsid w:val="00D158E2"/>
    <w:rsid w:val="00D16B19"/>
    <w:rsid w:val="00D16D82"/>
    <w:rsid w:val="00D1716B"/>
    <w:rsid w:val="00D20889"/>
    <w:rsid w:val="00D2177D"/>
    <w:rsid w:val="00D227AD"/>
    <w:rsid w:val="00D23941"/>
    <w:rsid w:val="00D30840"/>
    <w:rsid w:val="00D30D06"/>
    <w:rsid w:val="00D315CA"/>
    <w:rsid w:val="00D315F5"/>
    <w:rsid w:val="00D31F6C"/>
    <w:rsid w:val="00D3443D"/>
    <w:rsid w:val="00D35CFC"/>
    <w:rsid w:val="00D36984"/>
    <w:rsid w:val="00D3713F"/>
    <w:rsid w:val="00D37371"/>
    <w:rsid w:val="00D37EF6"/>
    <w:rsid w:val="00D404F1"/>
    <w:rsid w:val="00D41276"/>
    <w:rsid w:val="00D415E1"/>
    <w:rsid w:val="00D42AC7"/>
    <w:rsid w:val="00D436F4"/>
    <w:rsid w:val="00D43AFC"/>
    <w:rsid w:val="00D44F09"/>
    <w:rsid w:val="00D467B7"/>
    <w:rsid w:val="00D47C0E"/>
    <w:rsid w:val="00D47F15"/>
    <w:rsid w:val="00D5005E"/>
    <w:rsid w:val="00D5063C"/>
    <w:rsid w:val="00D50842"/>
    <w:rsid w:val="00D51634"/>
    <w:rsid w:val="00D53406"/>
    <w:rsid w:val="00D55948"/>
    <w:rsid w:val="00D55F1E"/>
    <w:rsid w:val="00D56DC6"/>
    <w:rsid w:val="00D57180"/>
    <w:rsid w:val="00D601C0"/>
    <w:rsid w:val="00D6200C"/>
    <w:rsid w:val="00D63472"/>
    <w:rsid w:val="00D6725B"/>
    <w:rsid w:val="00D70516"/>
    <w:rsid w:val="00D715D0"/>
    <w:rsid w:val="00D71FE3"/>
    <w:rsid w:val="00D723E3"/>
    <w:rsid w:val="00D73B77"/>
    <w:rsid w:val="00D73C99"/>
    <w:rsid w:val="00D73D11"/>
    <w:rsid w:val="00D7423C"/>
    <w:rsid w:val="00D749D0"/>
    <w:rsid w:val="00D75A1B"/>
    <w:rsid w:val="00D819E8"/>
    <w:rsid w:val="00D82183"/>
    <w:rsid w:val="00D82434"/>
    <w:rsid w:val="00D83381"/>
    <w:rsid w:val="00D83CF6"/>
    <w:rsid w:val="00D84882"/>
    <w:rsid w:val="00D85BC8"/>
    <w:rsid w:val="00D85C56"/>
    <w:rsid w:val="00D85F97"/>
    <w:rsid w:val="00D900F0"/>
    <w:rsid w:val="00D90364"/>
    <w:rsid w:val="00D91E8F"/>
    <w:rsid w:val="00D954AE"/>
    <w:rsid w:val="00D96A00"/>
    <w:rsid w:val="00DA0DF7"/>
    <w:rsid w:val="00DA238D"/>
    <w:rsid w:val="00DA244F"/>
    <w:rsid w:val="00DA28BA"/>
    <w:rsid w:val="00DA3121"/>
    <w:rsid w:val="00DA3C41"/>
    <w:rsid w:val="00DA60E0"/>
    <w:rsid w:val="00DA6C10"/>
    <w:rsid w:val="00DA75C9"/>
    <w:rsid w:val="00DA7A08"/>
    <w:rsid w:val="00DB0EE5"/>
    <w:rsid w:val="00DB1416"/>
    <w:rsid w:val="00DB1E32"/>
    <w:rsid w:val="00DB3BA6"/>
    <w:rsid w:val="00DB3EE2"/>
    <w:rsid w:val="00DB4108"/>
    <w:rsid w:val="00DB46B9"/>
    <w:rsid w:val="00DB73A9"/>
    <w:rsid w:val="00DB7A56"/>
    <w:rsid w:val="00DC0500"/>
    <w:rsid w:val="00DC4223"/>
    <w:rsid w:val="00DC4A85"/>
    <w:rsid w:val="00DC5154"/>
    <w:rsid w:val="00DC76C3"/>
    <w:rsid w:val="00DD0030"/>
    <w:rsid w:val="00DD0262"/>
    <w:rsid w:val="00DD0982"/>
    <w:rsid w:val="00DD1195"/>
    <w:rsid w:val="00DD3A8B"/>
    <w:rsid w:val="00DD46B7"/>
    <w:rsid w:val="00DD4B74"/>
    <w:rsid w:val="00DD65EE"/>
    <w:rsid w:val="00DD71B4"/>
    <w:rsid w:val="00DD7EC0"/>
    <w:rsid w:val="00DE042C"/>
    <w:rsid w:val="00DE0EAB"/>
    <w:rsid w:val="00DE272D"/>
    <w:rsid w:val="00DE28A3"/>
    <w:rsid w:val="00DE3184"/>
    <w:rsid w:val="00DE5054"/>
    <w:rsid w:val="00DE5239"/>
    <w:rsid w:val="00DE5373"/>
    <w:rsid w:val="00DE6115"/>
    <w:rsid w:val="00DE675F"/>
    <w:rsid w:val="00DE6C88"/>
    <w:rsid w:val="00DF0424"/>
    <w:rsid w:val="00DF0AE4"/>
    <w:rsid w:val="00DF0F0E"/>
    <w:rsid w:val="00DF13BA"/>
    <w:rsid w:val="00DF2BD2"/>
    <w:rsid w:val="00DF2E80"/>
    <w:rsid w:val="00DF34AC"/>
    <w:rsid w:val="00DF433D"/>
    <w:rsid w:val="00DF51AF"/>
    <w:rsid w:val="00DF56CB"/>
    <w:rsid w:val="00DF5E27"/>
    <w:rsid w:val="00DF622B"/>
    <w:rsid w:val="00DF6540"/>
    <w:rsid w:val="00DF6EFE"/>
    <w:rsid w:val="00DF761B"/>
    <w:rsid w:val="00DF7BA2"/>
    <w:rsid w:val="00DF7D0B"/>
    <w:rsid w:val="00E02702"/>
    <w:rsid w:val="00E03044"/>
    <w:rsid w:val="00E05465"/>
    <w:rsid w:val="00E11994"/>
    <w:rsid w:val="00E11C15"/>
    <w:rsid w:val="00E11C83"/>
    <w:rsid w:val="00E125C2"/>
    <w:rsid w:val="00E14E34"/>
    <w:rsid w:val="00E153F4"/>
    <w:rsid w:val="00E17A87"/>
    <w:rsid w:val="00E211B6"/>
    <w:rsid w:val="00E23C67"/>
    <w:rsid w:val="00E255BF"/>
    <w:rsid w:val="00E260FD"/>
    <w:rsid w:val="00E277D1"/>
    <w:rsid w:val="00E32F0A"/>
    <w:rsid w:val="00E34D17"/>
    <w:rsid w:val="00E4001C"/>
    <w:rsid w:val="00E4033B"/>
    <w:rsid w:val="00E42656"/>
    <w:rsid w:val="00E430FB"/>
    <w:rsid w:val="00E45DD5"/>
    <w:rsid w:val="00E46512"/>
    <w:rsid w:val="00E466C5"/>
    <w:rsid w:val="00E46EFC"/>
    <w:rsid w:val="00E479DE"/>
    <w:rsid w:val="00E50890"/>
    <w:rsid w:val="00E51C27"/>
    <w:rsid w:val="00E52420"/>
    <w:rsid w:val="00E5287D"/>
    <w:rsid w:val="00E536E3"/>
    <w:rsid w:val="00E53719"/>
    <w:rsid w:val="00E54A98"/>
    <w:rsid w:val="00E54F35"/>
    <w:rsid w:val="00E57386"/>
    <w:rsid w:val="00E60771"/>
    <w:rsid w:val="00E632B7"/>
    <w:rsid w:val="00E64290"/>
    <w:rsid w:val="00E65321"/>
    <w:rsid w:val="00E669F7"/>
    <w:rsid w:val="00E67284"/>
    <w:rsid w:val="00E6786D"/>
    <w:rsid w:val="00E7045B"/>
    <w:rsid w:val="00E71301"/>
    <w:rsid w:val="00E71D51"/>
    <w:rsid w:val="00E71EEF"/>
    <w:rsid w:val="00E72447"/>
    <w:rsid w:val="00E72F0C"/>
    <w:rsid w:val="00E73542"/>
    <w:rsid w:val="00E7631B"/>
    <w:rsid w:val="00E831C1"/>
    <w:rsid w:val="00E838DA"/>
    <w:rsid w:val="00E83EA9"/>
    <w:rsid w:val="00E84705"/>
    <w:rsid w:val="00E8516A"/>
    <w:rsid w:val="00E86950"/>
    <w:rsid w:val="00E87DAF"/>
    <w:rsid w:val="00E87DF2"/>
    <w:rsid w:val="00E92D5D"/>
    <w:rsid w:val="00E92FBF"/>
    <w:rsid w:val="00E94043"/>
    <w:rsid w:val="00E95623"/>
    <w:rsid w:val="00E95863"/>
    <w:rsid w:val="00E96A27"/>
    <w:rsid w:val="00E97D7C"/>
    <w:rsid w:val="00EA0BAC"/>
    <w:rsid w:val="00EA2E3F"/>
    <w:rsid w:val="00EA30CD"/>
    <w:rsid w:val="00EA3722"/>
    <w:rsid w:val="00EA3B9D"/>
    <w:rsid w:val="00EA52B3"/>
    <w:rsid w:val="00EA5F4E"/>
    <w:rsid w:val="00EA7A4C"/>
    <w:rsid w:val="00EB1D00"/>
    <w:rsid w:val="00EB2183"/>
    <w:rsid w:val="00EB28F6"/>
    <w:rsid w:val="00EB538B"/>
    <w:rsid w:val="00EB5812"/>
    <w:rsid w:val="00EB67BA"/>
    <w:rsid w:val="00EB7392"/>
    <w:rsid w:val="00EC16D1"/>
    <w:rsid w:val="00EC2050"/>
    <w:rsid w:val="00EC31D7"/>
    <w:rsid w:val="00EC5E4F"/>
    <w:rsid w:val="00EC6012"/>
    <w:rsid w:val="00EC739F"/>
    <w:rsid w:val="00EC7650"/>
    <w:rsid w:val="00EC7922"/>
    <w:rsid w:val="00ED02F6"/>
    <w:rsid w:val="00ED0431"/>
    <w:rsid w:val="00ED0E69"/>
    <w:rsid w:val="00ED22AC"/>
    <w:rsid w:val="00ED3206"/>
    <w:rsid w:val="00ED4FA3"/>
    <w:rsid w:val="00ED53C0"/>
    <w:rsid w:val="00ED7256"/>
    <w:rsid w:val="00ED7B1B"/>
    <w:rsid w:val="00ED7FA5"/>
    <w:rsid w:val="00EE08BD"/>
    <w:rsid w:val="00EE108F"/>
    <w:rsid w:val="00EE17E4"/>
    <w:rsid w:val="00EE694F"/>
    <w:rsid w:val="00EE71F7"/>
    <w:rsid w:val="00EF0210"/>
    <w:rsid w:val="00EF40FD"/>
    <w:rsid w:val="00EF5E8B"/>
    <w:rsid w:val="00EF74A4"/>
    <w:rsid w:val="00EF774C"/>
    <w:rsid w:val="00F00761"/>
    <w:rsid w:val="00F01148"/>
    <w:rsid w:val="00F01B61"/>
    <w:rsid w:val="00F02AC6"/>
    <w:rsid w:val="00F037BB"/>
    <w:rsid w:val="00F04067"/>
    <w:rsid w:val="00F06A0C"/>
    <w:rsid w:val="00F11831"/>
    <w:rsid w:val="00F13EF6"/>
    <w:rsid w:val="00F1477D"/>
    <w:rsid w:val="00F14A77"/>
    <w:rsid w:val="00F14B83"/>
    <w:rsid w:val="00F15591"/>
    <w:rsid w:val="00F158CF"/>
    <w:rsid w:val="00F16802"/>
    <w:rsid w:val="00F1764B"/>
    <w:rsid w:val="00F20FB0"/>
    <w:rsid w:val="00F21BB0"/>
    <w:rsid w:val="00F225FC"/>
    <w:rsid w:val="00F22601"/>
    <w:rsid w:val="00F22D8A"/>
    <w:rsid w:val="00F24120"/>
    <w:rsid w:val="00F2464D"/>
    <w:rsid w:val="00F25D88"/>
    <w:rsid w:val="00F26437"/>
    <w:rsid w:val="00F267A6"/>
    <w:rsid w:val="00F270DA"/>
    <w:rsid w:val="00F2712B"/>
    <w:rsid w:val="00F278D3"/>
    <w:rsid w:val="00F304F6"/>
    <w:rsid w:val="00F30986"/>
    <w:rsid w:val="00F321BA"/>
    <w:rsid w:val="00F32CFC"/>
    <w:rsid w:val="00F33E7A"/>
    <w:rsid w:val="00F366E3"/>
    <w:rsid w:val="00F36D1C"/>
    <w:rsid w:val="00F37011"/>
    <w:rsid w:val="00F377B6"/>
    <w:rsid w:val="00F40F47"/>
    <w:rsid w:val="00F42339"/>
    <w:rsid w:val="00F4236B"/>
    <w:rsid w:val="00F43D97"/>
    <w:rsid w:val="00F43DFE"/>
    <w:rsid w:val="00F44800"/>
    <w:rsid w:val="00F454CF"/>
    <w:rsid w:val="00F45CA4"/>
    <w:rsid w:val="00F45E1B"/>
    <w:rsid w:val="00F46469"/>
    <w:rsid w:val="00F51BFA"/>
    <w:rsid w:val="00F52A70"/>
    <w:rsid w:val="00F53DBB"/>
    <w:rsid w:val="00F553A9"/>
    <w:rsid w:val="00F55F6C"/>
    <w:rsid w:val="00F56D06"/>
    <w:rsid w:val="00F5751A"/>
    <w:rsid w:val="00F577AA"/>
    <w:rsid w:val="00F620F3"/>
    <w:rsid w:val="00F62284"/>
    <w:rsid w:val="00F62741"/>
    <w:rsid w:val="00F6316C"/>
    <w:rsid w:val="00F638F8"/>
    <w:rsid w:val="00F641F8"/>
    <w:rsid w:val="00F670B6"/>
    <w:rsid w:val="00F679A8"/>
    <w:rsid w:val="00F72682"/>
    <w:rsid w:val="00F732BB"/>
    <w:rsid w:val="00F7349C"/>
    <w:rsid w:val="00F73F36"/>
    <w:rsid w:val="00F748BD"/>
    <w:rsid w:val="00F76E97"/>
    <w:rsid w:val="00F77C31"/>
    <w:rsid w:val="00F77DCD"/>
    <w:rsid w:val="00F806D8"/>
    <w:rsid w:val="00F815C5"/>
    <w:rsid w:val="00F817CC"/>
    <w:rsid w:val="00F81ACC"/>
    <w:rsid w:val="00F82EE7"/>
    <w:rsid w:val="00F83E4A"/>
    <w:rsid w:val="00F84D6A"/>
    <w:rsid w:val="00F86685"/>
    <w:rsid w:val="00F86E80"/>
    <w:rsid w:val="00F90097"/>
    <w:rsid w:val="00F93694"/>
    <w:rsid w:val="00F9431E"/>
    <w:rsid w:val="00F96037"/>
    <w:rsid w:val="00FA0C0D"/>
    <w:rsid w:val="00FA11C4"/>
    <w:rsid w:val="00FA1C29"/>
    <w:rsid w:val="00FA1E76"/>
    <w:rsid w:val="00FA1FAF"/>
    <w:rsid w:val="00FA271C"/>
    <w:rsid w:val="00FA2D7C"/>
    <w:rsid w:val="00FA3BC0"/>
    <w:rsid w:val="00FA5593"/>
    <w:rsid w:val="00FA5828"/>
    <w:rsid w:val="00FA639B"/>
    <w:rsid w:val="00FA75E3"/>
    <w:rsid w:val="00FA7B77"/>
    <w:rsid w:val="00FB00A7"/>
    <w:rsid w:val="00FB1A5C"/>
    <w:rsid w:val="00FB21E0"/>
    <w:rsid w:val="00FB2887"/>
    <w:rsid w:val="00FB2CFB"/>
    <w:rsid w:val="00FB3965"/>
    <w:rsid w:val="00FB52B1"/>
    <w:rsid w:val="00FB678A"/>
    <w:rsid w:val="00FB6A50"/>
    <w:rsid w:val="00FC0959"/>
    <w:rsid w:val="00FC0B17"/>
    <w:rsid w:val="00FC0D98"/>
    <w:rsid w:val="00FC0E3D"/>
    <w:rsid w:val="00FC1033"/>
    <w:rsid w:val="00FC241E"/>
    <w:rsid w:val="00FC5092"/>
    <w:rsid w:val="00FC52DD"/>
    <w:rsid w:val="00FC6143"/>
    <w:rsid w:val="00FC715A"/>
    <w:rsid w:val="00FD145A"/>
    <w:rsid w:val="00FD1B4C"/>
    <w:rsid w:val="00FD2173"/>
    <w:rsid w:val="00FD55B2"/>
    <w:rsid w:val="00FD6760"/>
    <w:rsid w:val="00FD6A27"/>
    <w:rsid w:val="00FD7808"/>
    <w:rsid w:val="00FE2280"/>
    <w:rsid w:val="00FE28E6"/>
    <w:rsid w:val="00FE42C5"/>
    <w:rsid w:val="00FE4F7E"/>
    <w:rsid w:val="00FE597B"/>
    <w:rsid w:val="00FE69B7"/>
    <w:rsid w:val="00FE72A4"/>
    <w:rsid w:val="00FF072C"/>
    <w:rsid w:val="00FF4357"/>
    <w:rsid w:val="00FF43E6"/>
    <w:rsid w:val="00FF4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link w:val="Header"/>
    <w:uiPriority w:val="99"/>
    <w:semiHidden/>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uiPriority w:val="99"/>
    <w:rsid w:val="00B57E36"/>
    <w:rPr>
      <w:rFonts w:cs="Times New Roman"/>
    </w:rPr>
  </w:style>
  <w:style w:type="character" w:customStyle="1" w:styleId="fontettexthome">
    <w:name w:val="fontettexthome"/>
    <w:uiPriority w:val="99"/>
    <w:rsid w:val="00C949D4"/>
    <w:rPr>
      <w:rFonts w:cs="Times New Roman"/>
    </w:rPr>
  </w:style>
  <w:style w:type="paragraph" w:styleId="FootnoteText">
    <w:name w:val="footnote text"/>
    <w:basedOn w:val="Normal"/>
    <w:link w:val="FootnoteTextChar1"/>
    <w:uiPriority w:val="99"/>
    <w:semiHidden/>
    <w:rsid w:val="0068192A"/>
    <w:pPr>
      <w:suppressAutoHyphens/>
    </w:pPr>
    <w:rPr>
      <w:sz w:val="20"/>
      <w:szCs w:val="20"/>
      <w:lang w:val="en-US" w:eastAsia="ar-SA"/>
    </w:rPr>
  </w:style>
  <w:style w:type="character" w:customStyle="1" w:styleId="FootnoteTextChar1">
    <w:name w:val="Footnote Text Char1"/>
    <w:link w:val="FootnoteText"/>
    <w:uiPriority w:val="99"/>
    <w:semiHidden/>
    <w:locked/>
    <w:rsid w:val="00EC16D1"/>
    <w:rPr>
      <w:rFonts w:cs="Times New Roman"/>
      <w:sz w:val="20"/>
      <w:szCs w:val="20"/>
      <w:lang w:val="en-GB" w:eastAsia="en-GB"/>
    </w:rPr>
  </w:style>
  <w:style w:type="character" w:styleId="FootnoteReference">
    <w:name w:val="footnote reference"/>
    <w:uiPriority w:val="99"/>
    <w:semiHidden/>
    <w:rsid w:val="0068192A"/>
    <w:rPr>
      <w:rFonts w:cs="Times New Roman"/>
      <w:vertAlign w:val="superscript"/>
    </w:rPr>
  </w:style>
  <w:style w:type="character" w:styleId="CommentReference">
    <w:name w:val="annotation reference"/>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uiPriority w:val="99"/>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uiPriority w:val="99"/>
    <w:rsid w:val="00A44F85"/>
    <w:rPr>
      <w:rFonts w:cs="Times New Roman"/>
    </w:rPr>
  </w:style>
  <w:style w:type="character" w:customStyle="1" w:styleId="JuParaChar1">
    <w:name w:val="Ju_Para Char1"/>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uiPriority w:val="99"/>
    <w:rsid w:val="00E255BF"/>
    <w:rPr>
      <w:rFonts w:cs="Times New Roman"/>
    </w:rPr>
  </w:style>
  <w:style w:type="character" w:customStyle="1" w:styleId="JuParaChar">
    <w:name w:val="Ju_Para Char"/>
    <w:uiPriority w:val="99"/>
    <w:rsid w:val="00AB24F9"/>
    <w:rPr>
      <w:rFonts w:cs="Times New Roman"/>
      <w:sz w:val="24"/>
      <w:lang w:val="en-GB" w:eastAsia="fr-FR" w:bidi="ar-SA"/>
    </w:rPr>
  </w:style>
  <w:style w:type="character" w:customStyle="1" w:styleId="JuParaCar">
    <w:name w:val="Ju_Para Car"/>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uiPriority w:val="99"/>
    <w:rsid w:val="00143D21"/>
  </w:style>
  <w:style w:type="character" w:styleId="PlaceholderText">
    <w:name w:val="Placeholder Text"/>
    <w:uiPriority w:val="99"/>
    <w:semiHidden/>
    <w:rsid w:val="00170EFC"/>
    <w:rPr>
      <w:color w:val="808080"/>
    </w:rPr>
  </w:style>
  <w:style w:type="character" w:customStyle="1" w:styleId="bodytext">
    <w:name w:val="bodytext"/>
    <w:basedOn w:val="DefaultParagraphFont"/>
    <w:rsid w:val="00D2177D"/>
  </w:style>
  <w:style w:type="character" w:customStyle="1" w:styleId="JuParaCharChar">
    <w:name w:val="Ju_Para Char Char"/>
    <w:rsid w:val="00D601C0"/>
    <w:rPr>
      <w:sz w:val="24"/>
      <w:lang w:val="en-GB" w:eastAsia="fr-FR" w:bidi="ar-SA"/>
    </w:rPr>
  </w:style>
  <w:style w:type="character" w:customStyle="1" w:styleId="FootnoteTextChar">
    <w:name w:val="Footnote Text Char"/>
    <w:uiPriority w:val="99"/>
    <w:semiHidden/>
    <w:rsid w:val="003D789E"/>
    <w:rPr>
      <w:sz w:val="20"/>
      <w:szCs w:val="20"/>
      <w:lang w:val="en-US" w:eastAsia="ar-SA"/>
    </w:rPr>
  </w:style>
  <w:style w:type="character" w:styleId="Hyperlink">
    <w:name w:val="Hyperlink"/>
    <w:uiPriority w:val="99"/>
    <w:unhideWhenUsed/>
    <w:rsid w:val="003D789E"/>
    <w:rPr>
      <w:color w:val="0000FF"/>
      <w:u w:val="single"/>
    </w:rPr>
  </w:style>
  <w:style w:type="character" w:customStyle="1" w:styleId="sb8d990e2">
    <w:name w:val="sb8d990e2"/>
    <w:basedOn w:val="DefaultParagraphFont"/>
    <w:rsid w:val="003D789E"/>
  </w:style>
  <w:style w:type="character" w:customStyle="1" w:styleId="s85f22697">
    <w:name w:val="s85f22697"/>
    <w:basedOn w:val="DefaultParagraphFont"/>
    <w:rsid w:val="00314A8F"/>
  </w:style>
  <w:style w:type="character" w:customStyle="1" w:styleId="s6b621b36">
    <w:name w:val="s6b621b36"/>
    <w:basedOn w:val="DefaultParagraphFont"/>
    <w:rsid w:val="002F2772"/>
  </w:style>
  <w:style w:type="character" w:customStyle="1" w:styleId="wordhighlighted">
    <w:name w:val="wordhighlighted"/>
    <w:basedOn w:val="DefaultParagraphFont"/>
    <w:rsid w:val="002F2772"/>
  </w:style>
  <w:style w:type="character" w:customStyle="1" w:styleId="column01">
    <w:name w:val="column01"/>
    <w:basedOn w:val="DefaultParagraphFont"/>
    <w:rsid w:val="002F2772"/>
  </w:style>
  <w:style w:type="paragraph" w:customStyle="1" w:styleId="Normal1">
    <w:name w:val="Normal1"/>
    <w:basedOn w:val="Normal"/>
    <w:rsid w:val="00B64DFF"/>
    <w:pPr>
      <w:spacing w:before="100" w:beforeAutospacing="1" w:after="100" w:afterAutospacing="1"/>
    </w:pPr>
    <w:rPr>
      <w:lang w:val="en-US" w:eastAsia="en-US"/>
    </w:rPr>
  </w:style>
  <w:style w:type="paragraph" w:customStyle="1" w:styleId="JuList">
    <w:name w:val="Ju_List"/>
    <w:basedOn w:val="JuPara"/>
    <w:rsid w:val="00B64DFF"/>
    <w:pPr>
      <w:ind w:left="340" w:hanging="340"/>
    </w:pPr>
    <w:rPr>
      <w:lang w:eastAsia="fr-FR"/>
    </w:rPr>
  </w:style>
</w:styles>
</file>

<file path=word/webSettings.xml><?xml version="1.0" encoding="utf-8"?>
<w:webSettings xmlns:r="http://schemas.openxmlformats.org/officeDocument/2006/relationships" xmlns:w="http://schemas.openxmlformats.org/wordprocessingml/2006/main">
  <w:divs>
    <w:div w:id="19534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BOGIĆEVIĆ, Mirjana</Reference>
    <Case_x0020_Year xmlns="63130c8a-8d1f-4e28-8ee3-43603ca9ef3b">2009</Case_x0020_Year>
    <Case_x0020_Status xmlns="16f2acb5-7363-4076-9084-069fc3bb4325">CASE CLOSED</Case_x0020_Status>
    <Date_x0020_of_x0020_Adoption xmlns="16f2acb5-7363-4076-9084-069fc3bb4325">2013-03-13T23:00:00+00:00</Date_x0020_of_x0020_Adoption>
    <Case_x0020_Number xmlns="16f2acb5-7363-4076-9084-069fc3bb4325">112/09</Case_x0020_Number>
    <Type_x0020_of_x0020_Document xmlns="16f2acb5-7363-4076-9084-069fc3bb4325">Opinion</Type_x0020_of_x0020_Document>
    <_dlc_DocId xmlns="b9fab99d-1571-47f6-8995-3a195ef041f8">M5JDUUKXSQ5W-25-720</_dlc_DocId>
    <_dlc_DocIdUrl xmlns="b9fab99d-1571-47f6-8995-3a195ef041f8">
      <Url>http://www.unmikonline.org/hrap/Eng/_layouts/DocIdRedir.aspx?ID=M5JDUUKXSQ5W-25-720</Url>
      <Description>M5JDUUKXSQ5W-25-720</Description>
    </_dlc_DocIdUrl>
  </documentManagement>
</p:properties>
</file>

<file path=customXml/itemProps1.xml><?xml version="1.0" encoding="utf-8"?>
<ds:datastoreItem xmlns:ds="http://schemas.openxmlformats.org/officeDocument/2006/customXml" ds:itemID="{2B3618A0-F898-4DF8-B165-7C6C894B47A8}"/>
</file>

<file path=customXml/itemProps2.xml><?xml version="1.0" encoding="utf-8"?>
<ds:datastoreItem xmlns:ds="http://schemas.openxmlformats.org/officeDocument/2006/customXml" ds:itemID="{6D23DEDA-5558-42CB-9BB5-7BCCF42945AC}"/>
</file>

<file path=customXml/itemProps3.xml><?xml version="1.0" encoding="utf-8"?>
<ds:datastoreItem xmlns:ds="http://schemas.openxmlformats.org/officeDocument/2006/customXml" ds:itemID="{1FE7C37F-B954-4794-9674-35B72FBF9A6D}"/>
</file>

<file path=customXml/itemProps4.xml><?xml version="1.0" encoding="utf-8"?>
<ds:datastoreItem xmlns:ds="http://schemas.openxmlformats.org/officeDocument/2006/customXml" ds:itemID="{28132A32-5AD1-498F-B98D-BDDEA9D897F9}"/>
</file>

<file path=customXml/itemProps5.xml><?xml version="1.0" encoding="utf-8"?>
<ds:datastoreItem xmlns:ds="http://schemas.openxmlformats.org/officeDocument/2006/customXml" ds:itemID="{AAA2BFB0-C3DB-4ACC-A562-7DE77F64D98C}"/>
</file>

<file path=docProps/app.xml><?xml version="1.0" encoding="utf-8"?>
<Properties xmlns="http://schemas.openxmlformats.org/officeDocument/2006/extended-properties" xmlns:vt="http://schemas.openxmlformats.org/officeDocument/2006/docPropsVTypes">
  <Template>Normal</Template>
  <TotalTime>0</TotalTime>
  <Pages>20</Pages>
  <Words>10024</Words>
  <Characters>53133</Characters>
  <Application>Microsoft Office Word</Application>
  <DocSecurity>0</DocSecurity>
  <Lines>664</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UNMIK</Company>
  <LinksUpToDate>false</LinksUpToDate>
  <CharactersWithSpaces>63084</CharactersWithSpaces>
  <SharedDoc>false</SharedDoc>
  <HLinks>
    <vt:vector size="12" baseType="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2013-03-15T10:15:00Z</cp:lastPrinted>
  <dcterms:created xsi:type="dcterms:W3CDTF">2013-05-09T13:08:00Z</dcterms:created>
  <dcterms:modified xsi:type="dcterms:W3CDTF">2013-05-09T13:08:00Z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8da60675-a27f-4b7d-9fce-71918f74a45e</vt:lpwstr>
  </property>
</Properties>
</file>